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BCE04" w14:textId="2673E779" w:rsidR="00EA1868" w:rsidRPr="006C73F9" w:rsidRDefault="00EA1868" w:rsidP="006C73F9">
      <w:pPr>
        <w:pStyle w:val="Default"/>
        <w:rPr>
          <w:rFonts w:ascii="Calibri" w:hAnsi="Calibri" w:cs="Calibri"/>
          <w:b/>
          <w:bCs/>
          <w:lang w:val="en-GB"/>
        </w:rPr>
      </w:pPr>
    </w:p>
    <w:tbl>
      <w:tblPr>
        <w:tblW w:w="11023" w:type="dxa"/>
        <w:tblInd w:w="-108" w:type="dxa"/>
        <w:tblBorders>
          <w:top w:val="nil"/>
          <w:left w:val="nil"/>
          <w:bottom w:val="nil"/>
          <w:right w:val="nil"/>
        </w:tblBorders>
        <w:tblLayout w:type="fixed"/>
        <w:tblLook w:val="0000" w:firstRow="0" w:lastRow="0" w:firstColumn="0" w:lastColumn="0" w:noHBand="0" w:noVBand="0"/>
      </w:tblPr>
      <w:tblGrid>
        <w:gridCol w:w="11023"/>
      </w:tblGrid>
      <w:tr w:rsidR="00EA1868" w:rsidRPr="006C73F9" w14:paraId="5B1304BF" w14:textId="77777777" w:rsidTr="006C73F9">
        <w:trPr>
          <w:trHeight w:val="220"/>
        </w:trPr>
        <w:tc>
          <w:tcPr>
            <w:tcW w:w="11023" w:type="dxa"/>
          </w:tcPr>
          <w:p w14:paraId="6D5B1A76" w14:textId="72036D72" w:rsidR="00EA1868" w:rsidRPr="006C73F9" w:rsidRDefault="00EA1868" w:rsidP="006C73F9">
            <w:pPr>
              <w:autoSpaceDE w:val="0"/>
              <w:autoSpaceDN w:val="0"/>
              <w:adjustRightInd w:val="0"/>
              <w:spacing w:after="0" w:line="240" w:lineRule="auto"/>
              <w:rPr>
                <w:rFonts w:ascii="Calibri" w:hAnsi="Calibri" w:cs="Calibri"/>
                <w:b/>
                <w:bCs/>
                <w:color w:val="000000"/>
                <w:sz w:val="24"/>
                <w:szCs w:val="24"/>
              </w:rPr>
            </w:pPr>
            <w:r w:rsidRPr="006C73F9">
              <w:rPr>
                <w:rFonts w:ascii="Calibri" w:hAnsi="Calibri" w:cs="Calibri"/>
                <w:b/>
                <w:bCs/>
                <w:color w:val="000000"/>
                <w:sz w:val="24"/>
                <w:szCs w:val="24"/>
              </w:rPr>
              <w:t>Do Governments recognise the needs of affected family</w:t>
            </w:r>
            <w:r w:rsidR="004E6638" w:rsidRPr="006C73F9">
              <w:rPr>
                <w:rFonts w:ascii="Calibri" w:hAnsi="Calibri" w:cs="Calibri"/>
                <w:b/>
                <w:bCs/>
                <w:color w:val="000000"/>
                <w:sz w:val="24"/>
                <w:szCs w:val="24"/>
              </w:rPr>
              <w:t xml:space="preserve"> </w:t>
            </w:r>
            <w:r w:rsidRPr="006C73F9">
              <w:rPr>
                <w:rFonts w:ascii="Calibri" w:hAnsi="Calibri" w:cs="Calibri"/>
                <w:b/>
                <w:bCs/>
                <w:color w:val="000000"/>
                <w:sz w:val="24"/>
                <w:szCs w:val="24"/>
              </w:rPr>
              <w:t>members? First</w:t>
            </w:r>
            <w:r w:rsidR="006C73F9" w:rsidRPr="006C73F9">
              <w:rPr>
                <w:rFonts w:ascii="Calibri" w:hAnsi="Calibri" w:cs="Calibri"/>
                <w:b/>
                <w:bCs/>
                <w:color w:val="000000"/>
                <w:sz w:val="24"/>
                <w:szCs w:val="24"/>
              </w:rPr>
              <w:t xml:space="preserve"> i</w:t>
            </w:r>
            <w:r w:rsidR="000337A2" w:rsidRPr="006C73F9">
              <w:rPr>
                <w:rFonts w:ascii="Calibri" w:hAnsi="Calibri" w:cs="Calibri"/>
                <w:b/>
                <w:bCs/>
                <w:color w:val="000000"/>
                <w:sz w:val="24"/>
                <w:szCs w:val="24"/>
              </w:rPr>
              <w:t>ndicat</w:t>
            </w:r>
            <w:r w:rsidRPr="006C73F9">
              <w:rPr>
                <w:rFonts w:ascii="Calibri" w:hAnsi="Calibri" w:cs="Calibri"/>
                <w:b/>
                <w:bCs/>
                <w:color w:val="000000"/>
                <w:sz w:val="24"/>
                <w:szCs w:val="24"/>
              </w:rPr>
              <w:t xml:space="preserve">ions from an AFINet project </w:t>
            </w:r>
          </w:p>
        </w:tc>
      </w:tr>
    </w:tbl>
    <w:p w14:paraId="4303A94B" w14:textId="77777777" w:rsidR="00EA1868" w:rsidRPr="006C73F9" w:rsidRDefault="00EA1868" w:rsidP="006C73F9">
      <w:pPr>
        <w:autoSpaceDE w:val="0"/>
        <w:autoSpaceDN w:val="0"/>
        <w:adjustRightInd w:val="0"/>
        <w:spacing w:after="0" w:line="240" w:lineRule="auto"/>
        <w:rPr>
          <w:rFonts w:ascii="Calibri" w:hAnsi="Calibri" w:cs="Calibri"/>
          <w:b/>
          <w:bCs/>
          <w:color w:val="000000"/>
          <w:sz w:val="24"/>
          <w:szCs w:val="24"/>
        </w:rPr>
      </w:pPr>
    </w:p>
    <w:p w14:paraId="713ACE81" w14:textId="109A2997" w:rsidR="00EA1868" w:rsidRPr="006C73F9" w:rsidRDefault="00520B73" w:rsidP="006C73F9">
      <w:pPr>
        <w:autoSpaceDE w:val="0"/>
        <w:autoSpaceDN w:val="0"/>
        <w:adjustRightInd w:val="0"/>
        <w:spacing w:after="0" w:line="240" w:lineRule="auto"/>
        <w:rPr>
          <w:rFonts w:ascii="Calibri" w:hAnsi="Calibri" w:cs="Calibri"/>
          <w:b/>
          <w:bCs/>
          <w:color w:val="000000"/>
          <w:sz w:val="24"/>
          <w:szCs w:val="24"/>
        </w:rPr>
      </w:pPr>
      <w:r w:rsidRPr="006C73F9">
        <w:rPr>
          <w:rFonts w:ascii="Calibri" w:hAnsi="Calibri" w:cs="Calibri"/>
          <w:b/>
          <w:bCs/>
          <w:color w:val="000000"/>
          <w:sz w:val="24"/>
          <w:szCs w:val="24"/>
        </w:rPr>
        <w:t>Jim Orford, on behalf of AFINet project participants</w:t>
      </w:r>
    </w:p>
    <w:p w14:paraId="4266A2B0" w14:textId="77777777" w:rsidR="00EA1868" w:rsidRPr="006C73F9" w:rsidRDefault="00EA1868" w:rsidP="006C73F9">
      <w:pPr>
        <w:autoSpaceDE w:val="0"/>
        <w:autoSpaceDN w:val="0"/>
        <w:adjustRightInd w:val="0"/>
        <w:spacing w:after="0" w:line="240" w:lineRule="auto"/>
        <w:rPr>
          <w:rFonts w:ascii="Calibri" w:hAnsi="Calibri" w:cs="Calibri"/>
          <w:b/>
          <w:bCs/>
          <w:color w:val="000000"/>
          <w:sz w:val="24"/>
          <w:szCs w:val="24"/>
        </w:rPr>
      </w:pPr>
    </w:p>
    <w:p w14:paraId="4AF2C292" w14:textId="7B514117" w:rsidR="00EA1868" w:rsidRPr="006C73F9" w:rsidRDefault="00126678" w:rsidP="006C73F9">
      <w:pPr>
        <w:autoSpaceDE w:val="0"/>
        <w:autoSpaceDN w:val="0"/>
        <w:adjustRightInd w:val="0"/>
        <w:spacing w:after="0" w:line="240" w:lineRule="auto"/>
        <w:rPr>
          <w:rFonts w:ascii="Calibri" w:hAnsi="Calibri" w:cs="Calibri"/>
          <w:b/>
          <w:bCs/>
          <w:color w:val="000000"/>
          <w:sz w:val="24"/>
          <w:szCs w:val="24"/>
        </w:rPr>
      </w:pPr>
      <w:r w:rsidRPr="006C73F9">
        <w:rPr>
          <w:rFonts w:ascii="Calibri" w:hAnsi="Calibri" w:cs="Calibri"/>
          <w:b/>
          <w:bCs/>
          <w:color w:val="000000"/>
          <w:sz w:val="24"/>
          <w:szCs w:val="24"/>
        </w:rPr>
        <w:t>P</w:t>
      </w:r>
      <w:r w:rsidR="004E6638" w:rsidRPr="006C73F9">
        <w:rPr>
          <w:rFonts w:ascii="Calibri" w:hAnsi="Calibri" w:cs="Calibri"/>
          <w:b/>
          <w:bCs/>
          <w:color w:val="000000"/>
          <w:sz w:val="24"/>
          <w:szCs w:val="24"/>
        </w:rPr>
        <w:t xml:space="preserve">resented at: </w:t>
      </w:r>
      <w:r w:rsidR="00EA1868" w:rsidRPr="006C73F9">
        <w:rPr>
          <w:rFonts w:ascii="Calibri" w:hAnsi="Calibri" w:cs="Calibri"/>
          <w:b/>
          <w:bCs/>
          <w:color w:val="000000"/>
          <w:sz w:val="24"/>
          <w:szCs w:val="24"/>
        </w:rPr>
        <w:t xml:space="preserve">Addiction &amp; the Family International Network (AFINet): </w:t>
      </w:r>
    </w:p>
    <w:p w14:paraId="63C343CF" w14:textId="6C5DEFAF" w:rsidR="00EA1868" w:rsidRPr="006C73F9" w:rsidRDefault="00EA1868" w:rsidP="006C73F9">
      <w:pPr>
        <w:autoSpaceDE w:val="0"/>
        <w:autoSpaceDN w:val="0"/>
        <w:adjustRightInd w:val="0"/>
        <w:spacing w:after="0" w:line="240" w:lineRule="auto"/>
        <w:rPr>
          <w:rFonts w:ascii="Calibri" w:hAnsi="Calibri" w:cs="Calibri"/>
          <w:b/>
          <w:bCs/>
          <w:color w:val="000000"/>
          <w:sz w:val="24"/>
          <w:szCs w:val="24"/>
        </w:rPr>
      </w:pPr>
      <w:r w:rsidRPr="006C73F9">
        <w:rPr>
          <w:rFonts w:ascii="Calibri" w:hAnsi="Calibri" w:cs="Calibri"/>
          <w:b/>
          <w:bCs/>
          <w:color w:val="000000"/>
          <w:sz w:val="24"/>
          <w:szCs w:val="24"/>
        </w:rPr>
        <w:t xml:space="preserve">1st International Conference, </w:t>
      </w:r>
      <w:r w:rsidR="004E6638" w:rsidRPr="006C73F9">
        <w:rPr>
          <w:rFonts w:ascii="Calibri" w:hAnsi="Calibri" w:cs="Calibri"/>
          <w:b/>
          <w:bCs/>
          <w:color w:val="000000"/>
          <w:sz w:val="24"/>
          <w:szCs w:val="24"/>
        </w:rPr>
        <w:t xml:space="preserve">Newcastle upon Tyne, UK, Session 1, 16.00 -17.20, </w:t>
      </w:r>
      <w:r w:rsidRPr="006C73F9">
        <w:rPr>
          <w:rFonts w:ascii="Calibri" w:hAnsi="Calibri" w:cs="Calibri"/>
          <w:b/>
          <w:bCs/>
          <w:color w:val="000000"/>
          <w:sz w:val="24"/>
          <w:szCs w:val="24"/>
        </w:rPr>
        <w:t>Friday 9th November 2018</w:t>
      </w:r>
      <w:r w:rsidR="004E6638" w:rsidRPr="006C73F9">
        <w:rPr>
          <w:rFonts w:ascii="Calibri" w:hAnsi="Calibri" w:cs="Calibri"/>
          <w:b/>
          <w:bCs/>
          <w:color w:val="000000"/>
          <w:sz w:val="24"/>
          <w:szCs w:val="24"/>
        </w:rPr>
        <w:t>.</w:t>
      </w:r>
      <w:r w:rsidRPr="006C73F9">
        <w:rPr>
          <w:rFonts w:ascii="Calibri" w:hAnsi="Calibri" w:cs="Calibri"/>
          <w:b/>
          <w:bCs/>
          <w:color w:val="000000"/>
          <w:sz w:val="24"/>
          <w:szCs w:val="24"/>
        </w:rPr>
        <w:t xml:space="preserve"> </w:t>
      </w:r>
    </w:p>
    <w:p w14:paraId="780701FB" w14:textId="77777777" w:rsidR="00EA1868" w:rsidRPr="006C73F9" w:rsidRDefault="00EA1868" w:rsidP="006C73F9">
      <w:pPr>
        <w:autoSpaceDE w:val="0"/>
        <w:autoSpaceDN w:val="0"/>
        <w:adjustRightInd w:val="0"/>
        <w:spacing w:after="0" w:line="240" w:lineRule="auto"/>
        <w:jc w:val="both"/>
        <w:rPr>
          <w:rFonts w:cstheme="minorHAnsi"/>
          <w:sz w:val="24"/>
          <w:szCs w:val="24"/>
        </w:rPr>
      </w:pPr>
    </w:p>
    <w:p w14:paraId="533ED5ED" w14:textId="26B6990E" w:rsidR="00A830BD" w:rsidRPr="006C73F9" w:rsidRDefault="00A830BD" w:rsidP="006C73F9">
      <w:pPr>
        <w:autoSpaceDE w:val="0"/>
        <w:autoSpaceDN w:val="0"/>
        <w:adjustRightInd w:val="0"/>
        <w:spacing w:after="0" w:line="240" w:lineRule="auto"/>
        <w:jc w:val="center"/>
        <w:rPr>
          <w:rFonts w:cstheme="minorHAnsi"/>
          <w:i/>
          <w:sz w:val="24"/>
          <w:szCs w:val="24"/>
        </w:rPr>
      </w:pPr>
      <w:r w:rsidRPr="006C73F9">
        <w:rPr>
          <w:rFonts w:cstheme="minorHAnsi"/>
          <w:i/>
          <w:sz w:val="24"/>
          <w:szCs w:val="24"/>
        </w:rPr>
        <w:t>Introduction</w:t>
      </w:r>
    </w:p>
    <w:p w14:paraId="529D0094" w14:textId="77777777" w:rsidR="00A830BD" w:rsidRPr="006C73F9" w:rsidRDefault="00A830BD" w:rsidP="006C73F9">
      <w:pPr>
        <w:autoSpaceDE w:val="0"/>
        <w:autoSpaceDN w:val="0"/>
        <w:adjustRightInd w:val="0"/>
        <w:spacing w:after="0" w:line="240" w:lineRule="auto"/>
        <w:jc w:val="both"/>
        <w:rPr>
          <w:rFonts w:cstheme="minorHAnsi"/>
          <w:sz w:val="24"/>
          <w:szCs w:val="24"/>
        </w:rPr>
      </w:pPr>
    </w:p>
    <w:p w14:paraId="1D877082" w14:textId="2CA1B4AC" w:rsidR="001B2A78" w:rsidRPr="006C73F9" w:rsidRDefault="000C26DE" w:rsidP="006C73F9">
      <w:pPr>
        <w:autoSpaceDE w:val="0"/>
        <w:autoSpaceDN w:val="0"/>
        <w:adjustRightInd w:val="0"/>
        <w:spacing w:after="0" w:line="240" w:lineRule="auto"/>
        <w:jc w:val="both"/>
        <w:rPr>
          <w:rFonts w:cstheme="minorHAnsi"/>
          <w:sz w:val="24"/>
          <w:szCs w:val="24"/>
        </w:rPr>
      </w:pPr>
      <w:r w:rsidRPr="006C73F9">
        <w:rPr>
          <w:rFonts w:cstheme="minorHAnsi"/>
          <w:sz w:val="24"/>
          <w:szCs w:val="24"/>
        </w:rPr>
        <w:t>This paper will report first i</w:t>
      </w:r>
      <w:r w:rsidR="00A830BD" w:rsidRPr="006C73F9">
        <w:rPr>
          <w:rFonts w:cstheme="minorHAnsi"/>
          <w:sz w:val="24"/>
          <w:szCs w:val="24"/>
        </w:rPr>
        <w:t>ndications</w:t>
      </w:r>
      <w:r w:rsidRPr="006C73F9">
        <w:rPr>
          <w:rFonts w:cstheme="minorHAnsi"/>
          <w:sz w:val="24"/>
          <w:szCs w:val="24"/>
        </w:rPr>
        <w:t xml:space="preserve"> from one of </w:t>
      </w:r>
      <w:proofErr w:type="spellStart"/>
      <w:r w:rsidRPr="006C73F9">
        <w:rPr>
          <w:rFonts w:cstheme="minorHAnsi"/>
          <w:sz w:val="24"/>
          <w:szCs w:val="24"/>
        </w:rPr>
        <w:t>AFINet's</w:t>
      </w:r>
      <w:proofErr w:type="spellEnd"/>
      <w:r w:rsidRPr="006C73F9">
        <w:rPr>
          <w:rFonts w:cstheme="minorHAnsi"/>
          <w:sz w:val="24"/>
          <w:szCs w:val="24"/>
        </w:rPr>
        <w:t xml:space="preserve"> projects – </w:t>
      </w:r>
      <w:r w:rsidRPr="006C73F9">
        <w:rPr>
          <w:rFonts w:cstheme="minorHAnsi"/>
          <w:i/>
          <w:sz w:val="24"/>
          <w:szCs w:val="24"/>
        </w:rPr>
        <w:t>Country policies and practices regarding affected family members (AFMs)</w:t>
      </w:r>
      <w:r w:rsidRPr="006C73F9">
        <w:rPr>
          <w:rFonts w:cstheme="minorHAnsi"/>
          <w:sz w:val="24"/>
          <w:szCs w:val="24"/>
        </w:rPr>
        <w:t>.</w:t>
      </w:r>
      <w:r w:rsidR="00520B73" w:rsidRPr="006C73F9">
        <w:rPr>
          <w:rFonts w:cstheme="minorHAnsi"/>
          <w:sz w:val="24"/>
          <w:szCs w:val="24"/>
        </w:rPr>
        <w:t xml:space="preserve"> </w:t>
      </w:r>
      <w:r w:rsidRPr="006C73F9">
        <w:rPr>
          <w:rFonts w:cstheme="minorHAnsi"/>
          <w:sz w:val="24"/>
          <w:szCs w:val="24"/>
        </w:rPr>
        <w:t xml:space="preserve">The </w:t>
      </w:r>
      <w:r w:rsidR="00520B73" w:rsidRPr="006C73F9">
        <w:rPr>
          <w:rFonts w:cstheme="minorHAnsi"/>
          <w:sz w:val="24"/>
          <w:szCs w:val="24"/>
        </w:rPr>
        <w:t xml:space="preserve">overall </w:t>
      </w:r>
      <w:r w:rsidRPr="006C73F9">
        <w:rPr>
          <w:rFonts w:cstheme="minorHAnsi"/>
          <w:sz w:val="24"/>
          <w:szCs w:val="24"/>
        </w:rPr>
        <w:t>aim of this project is to find out how AFMs, both adults and children, are recognised and responded to in a number of geographically and</w:t>
      </w:r>
      <w:r w:rsidR="00520B73" w:rsidRPr="006C73F9">
        <w:rPr>
          <w:rFonts w:cstheme="minorHAnsi"/>
          <w:sz w:val="24"/>
          <w:szCs w:val="24"/>
        </w:rPr>
        <w:t xml:space="preserve"> </w:t>
      </w:r>
      <w:r w:rsidRPr="006C73F9">
        <w:rPr>
          <w:rFonts w:cstheme="minorHAnsi"/>
          <w:sz w:val="24"/>
          <w:szCs w:val="24"/>
        </w:rPr>
        <w:t xml:space="preserve">economically contrasting countries. </w:t>
      </w:r>
      <w:r w:rsidR="001B2A78" w:rsidRPr="006C73F9">
        <w:rPr>
          <w:sz w:val="24"/>
          <w:szCs w:val="24"/>
        </w:rPr>
        <w:t xml:space="preserve">In each </w:t>
      </w:r>
      <w:r w:rsidR="00520B73" w:rsidRPr="006C73F9">
        <w:rPr>
          <w:sz w:val="24"/>
          <w:szCs w:val="24"/>
        </w:rPr>
        <w:t>participating</w:t>
      </w:r>
      <w:r w:rsidR="001B2A78" w:rsidRPr="006C73F9">
        <w:rPr>
          <w:sz w:val="24"/>
          <w:szCs w:val="24"/>
        </w:rPr>
        <w:t xml:space="preserve"> countr</w:t>
      </w:r>
      <w:r w:rsidR="00520B73" w:rsidRPr="006C73F9">
        <w:rPr>
          <w:sz w:val="24"/>
          <w:szCs w:val="24"/>
        </w:rPr>
        <w:t>y</w:t>
      </w:r>
      <w:r w:rsidR="001B2A78" w:rsidRPr="006C73F9">
        <w:rPr>
          <w:sz w:val="24"/>
          <w:szCs w:val="24"/>
        </w:rPr>
        <w:t xml:space="preserve">, the project would attempt to determine how well or poorly recognised AFMs were, as well as the quantity of service provision available to AFMs in the country, and how policy influences service provision. We </w:t>
      </w:r>
      <w:r w:rsidR="00520B73" w:rsidRPr="006C73F9">
        <w:rPr>
          <w:sz w:val="24"/>
          <w:szCs w:val="24"/>
        </w:rPr>
        <w:t>envisaged the project having</w:t>
      </w:r>
      <w:r w:rsidR="001B2A78" w:rsidRPr="006C73F9">
        <w:rPr>
          <w:sz w:val="24"/>
          <w:szCs w:val="24"/>
        </w:rPr>
        <w:t xml:space="preserve"> three stages, as follows:</w:t>
      </w:r>
    </w:p>
    <w:p w14:paraId="2EC79D9E" w14:textId="49B489DA" w:rsidR="001B2A78" w:rsidRPr="006C73F9" w:rsidRDefault="001B2A78" w:rsidP="006C73F9">
      <w:pPr>
        <w:spacing w:before="480" w:after="0" w:line="240" w:lineRule="auto"/>
        <w:jc w:val="both"/>
        <w:rPr>
          <w:sz w:val="24"/>
          <w:szCs w:val="24"/>
        </w:rPr>
      </w:pPr>
      <w:r w:rsidRPr="006C73F9">
        <w:rPr>
          <w:sz w:val="24"/>
          <w:szCs w:val="24"/>
        </w:rPr>
        <w:t>Stage 1:</w:t>
      </w:r>
      <w:r w:rsidR="00C636B9" w:rsidRPr="006C73F9">
        <w:rPr>
          <w:sz w:val="24"/>
          <w:szCs w:val="24"/>
        </w:rPr>
        <w:t xml:space="preserve"> </w:t>
      </w:r>
      <w:r w:rsidRPr="006C73F9">
        <w:rPr>
          <w:sz w:val="24"/>
          <w:szCs w:val="24"/>
        </w:rPr>
        <w:t xml:space="preserve">Examining relevant policy documents; for example, health and social policy documents. </w:t>
      </w:r>
    </w:p>
    <w:p w14:paraId="1C597041" w14:textId="5438CDE2" w:rsidR="001B2A78" w:rsidRPr="006C73F9" w:rsidRDefault="001B2A78" w:rsidP="006C73F9">
      <w:pPr>
        <w:spacing w:before="480" w:after="0" w:line="240" w:lineRule="auto"/>
        <w:jc w:val="both"/>
        <w:rPr>
          <w:sz w:val="24"/>
          <w:szCs w:val="24"/>
        </w:rPr>
      </w:pPr>
      <w:r w:rsidRPr="006C73F9">
        <w:rPr>
          <w:sz w:val="24"/>
          <w:szCs w:val="24"/>
        </w:rPr>
        <w:t>St</w:t>
      </w:r>
      <w:r w:rsidR="006C73F9">
        <w:rPr>
          <w:sz w:val="24"/>
          <w:szCs w:val="24"/>
        </w:rPr>
        <w:t>a</w:t>
      </w:r>
      <w:r w:rsidRPr="006C73F9">
        <w:rPr>
          <w:sz w:val="24"/>
          <w:szCs w:val="24"/>
        </w:rPr>
        <w:t>ge 2:</w:t>
      </w:r>
      <w:r w:rsidR="00C636B9" w:rsidRPr="006C73F9">
        <w:rPr>
          <w:sz w:val="24"/>
          <w:szCs w:val="24"/>
        </w:rPr>
        <w:t xml:space="preserve"> I</w:t>
      </w:r>
      <w:r w:rsidRPr="006C73F9">
        <w:rPr>
          <w:sz w:val="24"/>
          <w:szCs w:val="24"/>
        </w:rPr>
        <w:t xml:space="preserve">dentification, </w:t>
      </w:r>
      <w:proofErr w:type="gramStart"/>
      <w:r w:rsidRPr="006C73F9">
        <w:rPr>
          <w:sz w:val="24"/>
          <w:szCs w:val="24"/>
        </w:rPr>
        <w:t>enumeration</w:t>
      </w:r>
      <w:proofErr w:type="gramEnd"/>
      <w:r w:rsidRPr="006C73F9">
        <w:rPr>
          <w:sz w:val="24"/>
          <w:szCs w:val="24"/>
        </w:rPr>
        <w:t xml:space="preserve"> and categorisation of services, specific and generic, providing help for AFMs, and</w:t>
      </w:r>
    </w:p>
    <w:p w14:paraId="222DF249" w14:textId="03AA7608" w:rsidR="001B2A78" w:rsidRPr="006C73F9" w:rsidRDefault="001B2A78" w:rsidP="006C73F9">
      <w:pPr>
        <w:spacing w:before="480" w:after="0" w:line="240" w:lineRule="auto"/>
        <w:jc w:val="both"/>
        <w:rPr>
          <w:sz w:val="24"/>
          <w:szCs w:val="24"/>
        </w:rPr>
      </w:pPr>
      <w:proofErr w:type="spellStart"/>
      <w:r w:rsidRPr="006C73F9">
        <w:rPr>
          <w:sz w:val="24"/>
          <w:szCs w:val="24"/>
        </w:rPr>
        <w:t>Stae</w:t>
      </w:r>
      <w:proofErr w:type="spellEnd"/>
      <w:r w:rsidRPr="006C73F9">
        <w:rPr>
          <w:sz w:val="24"/>
          <w:szCs w:val="24"/>
        </w:rPr>
        <w:t xml:space="preserve"> 3:</w:t>
      </w:r>
      <w:r w:rsidR="00C636B9" w:rsidRPr="006C73F9">
        <w:rPr>
          <w:sz w:val="24"/>
          <w:szCs w:val="24"/>
        </w:rPr>
        <w:t xml:space="preserve"> </w:t>
      </w:r>
      <w:r w:rsidRPr="006C73F9">
        <w:rPr>
          <w:sz w:val="24"/>
          <w:szCs w:val="24"/>
        </w:rPr>
        <w:t xml:space="preserve">A more detailed survey of </w:t>
      </w:r>
      <w:r w:rsidR="00C636B9" w:rsidRPr="006C73F9">
        <w:rPr>
          <w:sz w:val="24"/>
          <w:szCs w:val="24"/>
        </w:rPr>
        <w:t>a representative sample</w:t>
      </w:r>
      <w:r w:rsidRPr="006C73F9">
        <w:rPr>
          <w:sz w:val="24"/>
          <w:szCs w:val="24"/>
        </w:rPr>
        <w:t xml:space="preserve"> of those services.</w:t>
      </w:r>
    </w:p>
    <w:p w14:paraId="7B1253B7" w14:textId="77777777" w:rsidR="001B2A78" w:rsidRPr="006C73F9" w:rsidRDefault="001B2A78" w:rsidP="006C73F9">
      <w:pPr>
        <w:autoSpaceDE w:val="0"/>
        <w:autoSpaceDN w:val="0"/>
        <w:adjustRightInd w:val="0"/>
        <w:spacing w:after="0" w:line="240" w:lineRule="auto"/>
        <w:jc w:val="both"/>
        <w:rPr>
          <w:rFonts w:cstheme="minorHAnsi"/>
          <w:sz w:val="24"/>
          <w:szCs w:val="24"/>
        </w:rPr>
      </w:pPr>
    </w:p>
    <w:p w14:paraId="172D3F09" w14:textId="105A32CB" w:rsidR="001B2A78" w:rsidRPr="006C73F9" w:rsidRDefault="00A830BD" w:rsidP="006C73F9">
      <w:pPr>
        <w:autoSpaceDE w:val="0"/>
        <w:autoSpaceDN w:val="0"/>
        <w:adjustRightInd w:val="0"/>
        <w:spacing w:after="0" w:line="240" w:lineRule="auto"/>
        <w:jc w:val="both"/>
        <w:rPr>
          <w:rFonts w:cstheme="minorHAnsi"/>
          <w:sz w:val="24"/>
          <w:szCs w:val="24"/>
        </w:rPr>
      </w:pPr>
      <w:r w:rsidRPr="006C73F9">
        <w:rPr>
          <w:rFonts w:cstheme="minorHAnsi"/>
          <w:sz w:val="24"/>
          <w:szCs w:val="24"/>
        </w:rPr>
        <w:t>So far w</w:t>
      </w:r>
      <w:r w:rsidR="00520B73" w:rsidRPr="006C73F9">
        <w:rPr>
          <w:rFonts w:cstheme="minorHAnsi"/>
          <w:sz w:val="24"/>
          <w:szCs w:val="24"/>
        </w:rPr>
        <w:t>e have been engaged in Step 1</w:t>
      </w:r>
      <w:r w:rsidRPr="006C73F9">
        <w:rPr>
          <w:rFonts w:cstheme="minorHAnsi"/>
          <w:sz w:val="24"/>
          <w:szCs w:val="24"/>
        </w:rPr>
        <w:t>, an</w:t>
      </w:r>
      <w:r w:rsidR="000C26DE" w:rsidRPr="006C73F9">
        <w:rPr>
          <w:rFonts w:cstheme="minorHAnsi"/>
          <w:sz w:val="24"/>
          <w:szCs w:val="24"/>
        </w:rPr>
        <w:t xml:space="preserve"> examination of relevant policy</w:t>
      </w:r>
      <w:r w:rsidRPr="006C73F9">
        <w:rPr>
          <w:rFonts w:cstheme="minorHAnsi"/>
          <w:sz w:val="24"/>
          <w:szCs w:val="24"/>
        </w:rPr>
        <w:t xml:space="preserve"> </w:t>
      </w:r>
      <w:r w:rsidR="000C26DE" w:rsidRPr="006C73F9">
        <w:rPr>
          <w:rFonts w:cstheme="minorHAnsi"/>
          <w:sz w:val="24"/>
          <w:szCs w:val="24"/>
        </w:rPr>
        <w:t xml:space="preserve">documents. </w:t>
      </w:r>
      <w:r w:rsidR="00271609" w:rsidRPr="006C73F9">
        <w:rPr>
          <w:rFonts w:cstheme="minorHAnsi"/>
          <w:sz w:val="24"/>
          <w:szCs w:val="24"/>
        </w:rPr>
        <w:t>Eight</w:t>
      </w:r>
      <w:r w:rsidR="000C26DE" w:rsidRPr="006C73F9">
        <w:rPr>
          <w:rFonts w:cstheme="minorHAnsi"/>
          <w:sz w:val="24"/>
          <w:szCs w:val="24"/>
        </w:rPr>
        <w:t xml:space="preserve"> countries have been actively involved in the project and others may still join the group. </w:t>
      </w:r>
      <w:r w:rsidRPr="006C73F9">
        <w:rPr>
          <w:rFonts w:cstheme="minorHAnsi"/>
          <w:sz w:val="24"/>
          <w:szCs w:val="24"/>
        </w:rPr>
        <w:t>A</w:t>
      </w:r>
      <w:r w:rsidR="00C22D6A" w:rsidRPr="006C73F9">
        <w:rPr>
          <w:rFonts w:cstheme="minorHAnsi"/>
          <w:sz w:val="24"/>
          <w:szCs w:val="24"/>
        </w:rPr>
        <w:t>s the Table shows, a</w:t>
      </w:r>
      <w:r w:rsidR="001B2A78" w:rsidRPr="006C73F9">
        <w:rPr>
          <w:rFonts w:cstheme="minorHAnsi"/>
          <w:sz w:val="24"/>
          <w:szCs w:val="24"/>
        </w:rPr>
        <w:t xml:space="preserve">t least 36 documents have been analysed </w:t>
      </w:r>
      <w:r w:rsidRPr="006C73F9">
        <w:rPr>
          <w:rFonts w:cstheme="minorHAnsi"/>
          <w:sz w:val="24"/>
          <w:szCs w:val="24"/>
        </w:rPr>
        <w:t>to date</w:t>
      </w:r>
      <w:r w:rsidR="001B2A78" w:rsidRPr="006C73F9">
        <w:rPr>
          <w:rFonts w:cstheme="minorHAnsi"/>
          <w:sz w:val="24"/>
          <w:szCs w:val="24"/>
        </w:rPr>
        <w:t xml:space="preserve">. </w:t>
      </w:r>
    </w:p>
    <w:p w14:paraId="066CF63D" w14:textId="6F3A3B71" w:rsidR="00C22D6A" w:rsidRDefault="00C22D6A" w:rsidP="006C73F9">
      <w:pPr>
        <w:spacing w:before="480" w:after="0" w:line="240" w:lineRule="auto"/>
        <w:jc w:val="both"/>
        <w:rPr>
          <w:b/>
          <w:sz w:val="24"/>
          <w:szCs w:val="24"/>
        </w:rPr>
      </w:pPr>
      <w:r w:rsidRPr="006C73F9">
        <w:rPr>
          <w:b/>
          <w:sz w:val="24"/>
          <w:szCs w:val="24"/>
        </w:rPr>
        <w:t>Country policies and practices regarding Affected Family Members</w:t>
      </w:r>
    </w:p>
    <w:p w14:paraId="28074B13" w14:textId="77777777" w:rsidR="006C73F9" w:rsidRPr="006C73F9" w:rsidRDefault="006C73F9" w:rsidP="006C73F9">
      <w:pPr>
        <w:spacing w:before="480" w:after="0" w:line="240" w:lineRule="auto"/>
        <w:jc w:val="both"/>
        <w:rPr>
          <w:b/>
          <w:sz w:val="24"/>
          <w:szCs w:val="24"/>
        </w:rPr>
      </w:pPr>
    </w:p>
    <w:p w14:paraId="1D2F34BD" w14:textId="77777777" w:rsidR="00C22D6A" w:rsidRPr="006C73F9" w:rsidRDefault="00C22D6A" w:rsidP="006C73F9">
      <w:pPr>
        <w:spacing w:after="0" w:line="240" w:lineRule="auto"/>
        <w:jc w:val="both"/>
        <w:rPr>
          <w:sz w:val="24"/>
          <w:szCs w:val="24"/>
        </w:rPr>
      </w:pPr>
      <w:r w:rsidRPr="006C73F9">
        <w:rPr>
          <w:sz w:val="24"/>
          <w:szCs w:val="24"/>
        </w:rPr>
        <w:t>Documents analysed to date (all cover alcohol and drugs unless stated):</w:t>
      </w:r>
    </w:p>
    <w:tbl>
      <w:tblPr>
        <w:tblStyle w:val="TableGrid"/>
        <w:tblW w:w="0" w:type="auto"/>
        <w:tblLook w:val="04A0" w:firstRow="1" w:lastRow="0" w:firstColumn="1" w:lastColumn="0" w:noHBand="0" w:noVBand="1"/>
      </w:tblPr>
      <w:tblGrid>
        <w:gridCol w:w="2186"/>
        <w:gridCol w:w="2062"/>
        <w:gridCol w:w="5953"/>
      </w:tblGrid>
      <w:tr w:rsidR="00C22D6A" w:rsidRPr="006C73F9" w14:paraId="70C99557" w14:textId="77777777" w:rsidTr="006C73F9">
        <w:tc>
          <w:tcPr>
            <w:tcW w:w="2186" w:type="dxa"/>
          </w:tcPr>
          <w:p w14:paraId="37070171" w14:textId="77777777" w:rsidR="00C22D6A" w:rsidRPr="006C73F9" w:rsidRDefault="00C22D6A" w:rsidP="006C73F9">
            <w:pPr>
              <w:jc w:val="both"/>
              <w:rPr>
                <w:sz w:val="24"/>
                <w:szCs w:val="24"/>
              </w:rPr>
            </w:pPr>
            <w:r w:rsidRPr="006C73F9">
              <w:rPr>
                <w:sz w:val="24"/>
                <w:szCs w:val="24"/>
              </w:rPr>
              <w:t>COUNTRIES</w:t>
            </w:r>
          </w:p>
        </w:tc>
        <w:tc>
          <w:tcPr>
            <w:tcW w:w="2062" w:type="dxa"/>
          </w:tcPr>
          <w:p w14:paraId="22CF0A2B" w14:textId="77777777" w:rsidR="00C22D6A" w:rsidRPr="006C73F9" w:rsidRDefault="00C22D6A" w:rsidP="006C73F9">
            <w:pPr>
              <w:jc w:val="both"/>
              <w:rPr>
                <w:sz w:val="24"/>
                <w:szCs w:val="24"/>
              </w:rPr>
            </w:pPr>
            <w:r w:rsidRPr="006C73F9">
              <w:rPr>
                <w:sz w:val="24"/>
                <w:szCs w:val="24"/>
              </w:rPr>
              <w:t>NUMBER OF DOCUMENTS</w:t>
            </w:r>
          </w:p>
        </w:tc>
        <w:tc>
          <w:tcPr>
            <w:tcW w:w="5953" w:type="dxa"/>
          </w:tcPr>
          <w:p w14:paraId="7BC5DD59" w14:textId="77777777" w:rsidR="00C22D6A" w:rsidRPr="006C73F9" w:rsidRDefault="00C22D6A" w:rsidP="006C73F9">
            <w:pPr>
              <w:jc w:val="both"/>
              <w:rPr>
                <w:sz w:val="24"/>
                <w:szCs w:val="24"/>
              </w:rPr>
            </w:pPr>
            <w:r w:rsidRPr="006C73F9">
              <w:rPr>
                <w:sz w:val="24"/>
                <w:szCs w:val="24"/>
              </w:rPr>
              <w:t>COMMENTS</w:t>
            </w:r>
          </w:p>
        </w:tc>
      </w:tr>
      <w:tr w:rsidR="00C22D6A" w:rsidRPr="006C73F9" w14:paraId="269CAB59" w14:textId="77777777" w:rsidTr="006C73F9">
        <w:tc>
          <w:tcPr>
            <w:tcW w:w="2186" w:type="dxa"/>
          </w:tcPr>
          <w:p w14:paraId="00732E1C" w14:textId="77777777" w:rsidR="00C22D6A" w:rsidRPr="006C73F9" w:rsidRDefault="00C22D6A" w:rsidP="006C73F9">
            <w:pPr>
              <w:jc w:val="both"/>
              <w:rPr>
                <w:sz w:val="24"/>
                <w:szCs w:val="24"/>
              </w:rPr>
            </w:pPr>
            <w:r w:rsidRPr="006C73F9">
              <w:rPr>
                <w:sz w:val="24"/>
                <w:szCs w:val="24"/>
              </w:rPr>
              <w:t xml:space="preserve">     South Africa</w:t>
            </w:r>
          </w:p>
        </w:tc>
        <w:tc>
          <w:tcPr>
            <w:tcW w:w="2062" w:type="dxa"/>
          </w:tcPr>
          <w:p w14:paraId="5DBC9341" w14:textId="77777777" w:rsidR="00C22D6A" w:rsidRPr="006C73F9" w:rsidRDefault="00C22D6A" w:rsidP="006C73F9">
            <w:pPr>
              <w:jc w:val="both"/>
              <w:rPr>
                <w:sz w:val="24"/>
                <w:szCs w:val="24"/>
              </w:rPr>
            </w:pPr>
            <w:r w:rsidRPr="006C73F9">
              <w:rPr>
                <w:sz w:val="24"/>
                <w:szCs w:val="24"/>
              </w:rPr>
              <w:t>2</w:t>
            </w:r>
          </w:p>
        </w:tc>
        <w:tc>
          <w:tcPr>
            <w:tcW w:w="5953" w:type="dxa"/>
          </w:tcPr>
          <w:p w14:paraId="266A0F77" w14:textId="77777777" w:rsidR="00C22D6A" w:rsidRPr="006C73F9" w:rsidRDefault="00C22D6A" w:rsidP="006C73F9">
            <w:pPr>
              <w:jc w:val="both"/>
              <w:rPr>
                <w:sz w:val="24"/>
                <w:szCs w:val="24"/>
              </w:rPr>
            </w:pPr>
            <w:r w:rsidRPr="006C73F9">
              <w:rPr>
                <w:sz w:val="24"/>
                <w:szCs w:val="24"/>
              </w:rPr>
              <w:t>Both from Western Cape area (1 drugs only)</w:t>
            </w:r>
          </w:p>
          <w:p w14:paraId="4DE007EB" w14:textId="77777777" w:rsidR="00C22D6A" w:rsidRPr="006C73F9" w:rsidRDefault="00C22D6A" w:rsidP="006C73F9">
            <w:pPr>
              <w:jc w:val="both"/>
              <w:rPr>
                <w:sz w:val="24"/>
                <w:szCs w:val="24"/>
              </w:rPr>
            </w:pPr>
            <w:r w:rsidRPr="006C73F9">
              <w:rPr>
                <w:sz w:val="24"/>
                <w:szCs w:val="24"/>
              </w:rPr>
              <w:t>Plus a previous analysis of 3 national documents</w:t>
            </w:r>
          </w:p>
        </w:tc>
      </w:tr>
      <w:tr w:rsidR="00C22D6A" w:rsidRPr="006C73F9" w14:paraId="15B38153" w14:textId="77777777" w:rsidTr="006C73F9">
        <w:tc>
          <w:tcPr>
            <w:tcW w:w="2186" w:type="dxa"/>
          </w:tcPr>
          <w:p w14:paraId="63663B2A" w14:textId="77777777" w:rsidR="00C22D6A" w:rsidRPr="006C73F9" w:rsidRDefault="00C22D6A" w:rsidP="006C73F9">
            <w:pPr>
              <w:jc w:val="both"/>
              <w:rPr>
                <w:sz w:val="24"/>
                <w:szCs w:val="24"/>
              </w:rPr>
            </w:pPr>
            <w:r w:rsidRPr="006C73F9">
              <w:rPr>
                <w:sz w:val="24"/>
                <w:szCs w:val="24"/>
              </w:rPr>
              <w:t xml:space="preserve">     India</w:t>
            </w:r>
          </w:p>
        </w:tc>
        <w:tc>
          <w:tcPr>
            <w:tcW w:w="2062" w:type="dxa"/>
          </w:tcPr>
          <w:p w14:paraId="63F89F2F" w14:textId="77777777" w:rsidR="00C22D6A" w:rsidRPr="006C73F9" w:rsidRDefault="00C22D6A" w:rsidP="006C73F9">
            <w:pPr>
              <w:jc w:val="both"/>
              <w:rPr>
                <w:sz w:val="24"/>
                <w:szCs w:val="24"/>
              </w:rPr>
            </w:pPr>
            <w:r w:rsidRPr="006C73F9">
              <w:rPr>
                <w:sz w:val="24"/>
                <w:szCs w:val="24"/>
              </w:rPr>
              <w:t>1</w:t>
            </w:r>
          </w:p>
        </w:tc>
        <w:tc>
          <w:tcPr>
            <w:tcW w:w="5953" w:type="dxa"/>
          </w:tcPr>
          <w:p w14:paraId="53FFC19D" w14:textId="77777777" w:rsidR="00C22D6A" w:rsidRPr="006C73F9" w:rsidRDefault="00C22D6A" w:rsidP="006C73F9">
            <w:pPr>
              <w:jc w:val="both"/>
              <w:rPr>
                <w:sz w:val="24"/>
                <w:szCs w:val="24"/>
              </w:rPr>
            </w:pPr>
            <w:r w:rsidRPr="006C73F9">
              <w:rPr>
                <w:sz w:val="24"/>
                <w:szCs w:val="24"/>
              </w:rPr>
              <w:t>National</w:t>
            </w:r>
          </w:p>
        </w:tc>
      </w:tr>
      <w:tr w:rsidR="00C22D6A" w:rsidRPr="006C73F9" w14:paraId="6C69E5B2" w14:textId="77777777" w:rsidTr="006C73F9">
        <w:tc>
          <w:tcPr>
            <w:tcW w:w="2186" w:type="dxa"/>
          </w:tcPr>
          <w:p w14:paraId="2275061A" w14:textId="77777777" w:rsidR="00C22D6A" w:rsidRPr="006C73F9" w:rsidRDefault="00C22D6A" w:rsidP="006C73F9">
            <w:pPr>
              <w:jc w:val="both"/>
              <w:rPr>
                <w:sz w:val="24"/>
                <w:szCs w:val="24"/>
              </w:rPr>
            </w:pPr>
            <w:r w:rsidRPr="006C73F9">
              <w:rPr>
                <w:sz w:val="24"/>
                <w:szCs w:val="24"/>
              </w:rPr>
              <w:t xml:space="preserve">     Brazil</w:t>
            </w:r>
          </w:p>
        </w:tc>
        <w:tc>
          <w:tcPr>
            <w:tcW w:w="2062" w:type="dxa"/>
          </w:tcPr>
          <w:p w14:paraId="7E77C8B7" w14:textId="77777777" w:rsidR="00C22D6A" w:rsidRPr="006C73F9" w:rsidRDefault="00C22D6A" w:rsidP="006C73F9">
            <w:pPr>
              <w:jc w:val="both"/>
              <w:rPr>
                <w:sz w:val="24"/>
                <w:szCs w:val="24"/>
              </w:rPr>
            </w:pPr>
            <w:r w:rsidRPr="006C73F9">
              <w:rPr>
                <w:sz w:val="24"/>
                <w:szCs w:val="24"/>
              </w:rPr>
              <w:t>3</w:t>
            </w:r>
          </w:p>
        </w:tc>
        <w:tc>
          <w:tcPr>
            <w:tcW w:w="5953" w:type="dxa"/>
          </w:tcPr>
          <w:p w14:paraId="545C1A4D" w14:textId="77777777" w:rsidR="00C22D6A" w:rsidRPr="006C73F9" w:rsidRDefault="00C22D6A" w:rsidP="006C73F9">
            <w:pPr>
              <w:jc w:val="both"/>
              <w:rPr>
                <w:sz w:val="24"/>
                <w:szCs w:val="24"/>
              </w:rPr>
            </w:pPr>
            <w:r w:rsidRPr="006C73F9">
              <w:rPr>
                <w:sz w:val="24"/>
                <w:szCs w:val="24"/>
              </w:rPr>
              <w:t>Includes 2 drugs only</w:t>
            </w:r>
          </w:p>
        </w:tc>
      </w:tr>
      <w:tr w:rsidR="00C22D6A" w:rsidRPr="006C73F9" w14:paraId="3381BB85" w14:textId="77777777" w:rsidTr="006C73F9">
        <w:tc>
          <w:tcPr>
            <w:tcW w:w="2186" w:type="dxa"/>
          </w:tcPr>
          <w:p w14:paraId="359DC2D1" w14:textId="77777777" w:rsidR="00C22D6A" w:rsidRPr="006C73F9" w:rsidRDefault="00C22D6A" w:rsidP="006C73F9">
            <w:pPr>
              <w:jc w:val="both"/>
              <w:rPr>
                <w:sz w:val="24"/>
                <w:szCs w:val="24"/>
              </w:rPr>
            </w:pPr>
            <w:r w:rsidRPr="006C73F9">
              <w:rPr>
                <w:sz w:val="24"/>
                <w:szCs w:val="24"/>
              </w:rPr>
              <w:t xml:space="preserve">     Mexico</w:t>
            </w:r>
          </w:p>
        </w:tc>
        <w:tc>
          <w:tcPr>
            <w:tcW w:w="2062" w:type="dxa"/>
          </w:tcPr>
          <w:p w14:paraId="0047AE29" w14:textId="77777777" w:rsidR="00C22D6A" w:rsidRPr="006C73F9" w:rsidRDefault="00C22D6A" w:rsidP="006C73F9">
            <w:pPr>
              <w:jc w:val="both"/>
              <w:rPr>
                <w:sz w:val="24"/>
                <w:szCs w:val="24"/>
              </w:rPr>
            </w:pPr>
            <w:r w:rsidRPr="006C73F9">
              <w:rPr>
                <w:sz w:val="24"/>
                <w:szCs w:val="24"/>
              </w:rPr>
              <w:t>15</w:t>
            </w:r>
          </w:p>
        </w:tc>
        <w:tc>
          <w:tcPr>
            <w:tcW w:w="5953" w:type="dxa"/>
          </w:tcPr>
          <w:p w14:paraId="58F11364" w14:textId="77777777" w:rsidR="00C22D6A" w:rsidRPr="006C73F9" w:rsidRDefault="00C22D6A" w:rsidP="006C73F9">
            <w:pPr>
              <w:jc w:val="both"/>
              <w:rPr>
                <w:sz w:val="24"/>
                <w:szCs w:val="24"/>
              </w:rPr>
            </w:pPr>
            <w:r w:rsidRPr="006C73F9">
              <w:rPr>
                <w:sz w:val="24"/>
                <w:szCs w:val="24"/>
              </w:rPr>
              <w:t>Includes 5 regional</w:t>
            </w:r>
          </w:p>
        </w:tc>
      </w:tr>
      <w:tr w:rsidR="00C22D6A" w:rsidRPr="006C73F9" w14:paraId="0AA5B09F" w14:textId="77777777" w:rsidTr="006C73F9">
        <w:tc>
          <w:tcPr>
            <w:tcW w:w="2186" w:type="dxa"/>
          </w:tcPr>
          <w:p w14:paraId="1303BD87" w14:textId="77777777" w:rsidR="00C22D6A" w:rsidRPr="006C73F9" w:rsidRDefault="00C22D6A" w:rsidP="006C73F9">
            <w:pPr>
              <w:jc w:val="both"/>
              <w:rPr>
                <w:sz w:val="24"/>
                <w:szCs w:val="24"/>
              </w:rPr>
            </w:pPr>
            <w:r w:rsidRPr="006C73F9">
              <w:rPr>
                <w:sz w:val="24"/>
                <w:szCs w:val="24"/>
              </w:rPr>
              <w:t xml:space="preserve">     Germany</w:t>
            </w:r>
          </w:p>
        </w:tc>
        <w:tc>
          <w:tcPr>
            <w:tcW w:w="2062" w:type="dxa"/>
          </w:tcPr>
          <w:p w14:paraId="118AA037" w14:textId="77777777" w:rsidR="00C22D6A" w:rsidRPr="006C73F9" w:rsidRDefault="00C22D6A" w:rsidP="006C73F9">
            <w:pPr>
              <w:jc w:val="both"/>
              <w:rPr>
                <w:sz w:val="24"/>
                <w:szCs w:val="24"/>
              </w:rPr>
            </w:pPr>
            <w:r w:rsidRPr="006C73F9">
              <w:rPr>
                <w:sz w:val="24"/>
                <w:szCs w:val="24"/>
              </w:rPr>
              <w:t>7</w:t>
            </w:r>
          </w:p>
        </w:tc>
        <w:tc>
          <w:tcPr>
            <w:tcW w:w="5953" w:type="dxa"/>
          </w:tcPr>
          <w:p w14:paraId="0E310BFD" w14:textId="77777777" w:rsidR="00C22D6A" w:rsidRPr="006C73F9" w:rsidRDefault="00C22D6A" w:rsidP="006C73F9">
            <w:pPr>
              <w:jc w:val="both"/>
              <w:rPr>
                <w:sz w:val="24"/>
                <w:szCs w:val="24"/>
              </w:rPr>
            </w:pPr>
            <w:r w:rsidRPr="006C73F9">
              <w:rPr>
                <w:sz w:val="24"/>
                <w:szCs w:val="24"/>
              </w:rPr>
              <w:t xml:space="preserve">1 national covers all addiction incl. </w:t>
            </w:r>
            <w:proofErr w:type="gramStart"/>
            <w:r w:rsidRPr="006C73F9">
              <w:rPr>
                <w:sz w:val="24"/>
                <w:szCs w:val="24"/>
              </w:rPr>
              <w:t>gambling;</w:t>
            </w:r>
            <w:proofErr w:type="gramEnd"/>
            <w:r w:rsidRPr="006C73F9">
              <w:rPr>
                <w:sz w:val="24"/>
                <w:szCs w:val="24"/>
              </w:rPr>
              <w:t xml:space="preserve"> 6 regional</w:t>
            </w:r>
          </w:p>
        </w:tc>
      </w:tr>
      <w:tr w:rsidR="00C22D6A" w:rsidRPr="006C73F9" w14:paraId="76F7F626" w14:textId="77777777" w:rsidTr="006C73F9">
        <w:tc>
          <w:tcPr>
            <w:tcW w:w="2186" w:type="dxa"/>
          </w:tcPr>
          <w:p w14:paraId="117570B9" w14:textId="77777777" w:rsidR="00C22D6A" w:rsidRPr="006C73F9" w:rsidRDefault="00C22D6A" w:rsidP="006C73F9">
            <w:pPr>
              <w:jc w:val="both"/>
              <w:rPr>
                <w:sz w:val="24"/>
                <w:szCs w:val="24"/>
              </w:rPr>
            </w:pPr>
            <w:r w:rsidRPr="006C73F9">
              <w:rPr>
                <w:sz w:val="24"/>
                <w:szCs w:val="24"/>
              </w:rPr>
              <w:t xml:space="preserve">     Irish Republic</w:t>
            </w:r>
          </w:p>
        </w:tc>
        <w:tc>
          <w:tcPr>
            <w:tcW w:w="2062" w:type="dxa"/>
          </w:tcPr>
          <w:p w14:paraId="61721C15" w14:textId="77777777" w:rsidR="00C22D6A" w:rsidRPr="006C73F9" w:rsidRDefault="00C22D6A" w:rsidP="006C73F9">
            <w:pPr>
              <w:jc w:val="both"/>
              <w:rPr>
                <w:sz w:val="24"/>
                <w:szCs w:val="24"/>
              </w:rPr>
            </w:pPr>
            <w:r w:rsidRPr="006C73F9">
              <w:rPr>
                <w:sz w:val="24"/>
                <w:szCs w:val="24"/>
              </w:rPr>
              <w:t>3</w:t>
            </w:r>
          </w:p>
        </w:tc>
        <w:tc>
          <w:tcPr>
            <w:tcW w:w="5953" w:type="dxa"/>
          </w:tcPr>
          <w:p w14:paraId="71AC3847" w14:textId="58CEFB44" w:rsidR="00C22D6A" w:rsidRPr="006C73F9" w:rsidRDefault="00126678" w:rsidP="006C73F9">
            <w:pPr>
              <w:jc w:val="both"/>
              <w:rPr>
                <w:sz w:val="24"/>
                <w:szCs w:val="24"/>
              </w:rPr>
            </w:pPr>
            <w:r w:rsidRPr="006C73F9">
              <w:rPr>
                <w:sz w:val="24"/>
                <w:szCs w:val="24"/>
              </w:rPr>
              <w:t>C</w:t>
            </w:r>
            <w:r w:rsidR="00C22D6A" w:rsidRPr="006C73F9">
              <w:rPr>
                <w:sz w:val="24"/>
                <w:szCs w:val="24"/>
              </w:rPr>
              <w:t>overing 3 periods incl. current policy</w:t>
            </w:r>
          </w:p>
        </w:tc>
      </w:tr>
      <w:tr w:rsidR="00C22D6A" w:rsidRPr="006C73F9" w14:paraId="5B1DBE31" w14:textId="77777777" w:rsidTr="006C73F9">
        <w:tc>
          <w:tcPr>
            <w:tcW w:w="2186" w:type="dxa"/>
          </w:tcPr>
          <w:p w14:paraId="21AB0179" w14:textId="77777777" w:rsidR="00C22D6A" w:rsidRPr="006C73F9" w:rsidRDefault="00C22D6A" w:rsidP="006C73F9">
            <w:pPr>
              <w:jc w:val="both"/>
              <w:rPr>
                <w:sz w:val="24"/>
                <w:szCs w:val="24"/>
              </w:rPr>
            </w:pPr>
            <w:r w:rsidRPr="006C73F9">
              <w:rPr>
                <w:sz w:val="24"/>
                <w:szCs w:val="24"/>
              </w:rPr>
              <w:t xml:space="preserve">     Netherlands</w:t>
            </w:r>
          </w:p>
        </w:tc>
        <w:tc>
          <w:tcPr>
            <w:tcW w:w="2062" w:type="dxa"/>
          </w:tcPr>
          <w:p w14:paraId="38644790" w14:textId="77777777" w:rsidR="00C22D6A" w:rsidRPr="006C73F9" w:rsidRDefault="00C22D6A" w:rsidP="006C73F9">
            <w:pPr>
              <w:jc w:val="both"/>
              <w:rPr>
                <w:sz w:val="24"/>
                <w:szCs w:val="24"/>
              </w:rPr>
            </w:pPr>
            <w:r w:rsidRPr="006C73F9">
              <w:rPr>
                <w:sz w:val="24"/>
                <w:szCs w:val="24"/>
              </w:rPr>
              <w:t>Several</w:t>
            </w:r>
          </w:p>
        </w:tc>
        <w:tc>
          <w:tcPr>
            <w:tcW w:w="5953" w:type="dxa"/>
          </w:tcPr>
          <w:p w14:paraId="7A1A3986" w14:textId="77777777" w:rsidR="00C22D6A" w:rsidRPr="006C73F9" w:rsidRDefault="00C22D6A" w:rsidP="006C73F9">
            <w:pPr>
              <w:jc w:val="both"/>
              <w:rPr>
                <w:sz w:val="24"/>
                <w:szCs w:val="24"/>
              </w:rPr>
            </w:pPr>
            <w:r w:rsidRPr="006C73F9">
              <w:rPr>
                <w:sz w:val="24"/>
                <w:szCs w:val="24"/>
              </w:rPr>
              <w:t>Summary of several documents, mainly local (Amsterdam, Rotterdam, etc.)</w:t>
            </w:r>
          </w:p>
        </w:tc>
      </w:tr>
      <w:tr w:rsidR="00C22D6A" w:rsidRPr="006C73F9" w14:paraId="1A1DE533" w14:textId="77777777" w:rsidTr="006C73F9">
        <w:tc>
          <w:tcPr>
            <w:tcW w:w="2186" w:type="dxa"/>
          </w:tcPr>
          <w:p w14:paraId="1F164907" w14:textId="77777777" w:rsidR="00C22D6A" w:rsidRPr="006C73F9" w:rsidRDefault="00C22D6A" w:rsidP="006C73F9">
            <w:pPr>
              <w:jc w:val="both"/>
              <w:rPr>
                <w:sz w:val="24"/>
                <w:szCs w:val="24"/>
              </w:rPr>
            </w:pPr>
            <w:r w:rsidRPr="006C73F9">
              <w:rPr>
                <w:sz w:val="24"/>
                <w:szCs w:val="24"/>
              </w:rPr>
              <w:t xml:space="preserve">     UK</w:t>
            </w:r>
          </w:p>
        </w:tc>
        <w:tc>
          <w:tcPr>
            <w:tcW w:w="2062" w:type="dxa"/>
          </w:tcPr>
          <w:p w14:paraId="34FC423F" w14:textId="77777777" w:rsidR="00C22D6A" w:rsidRPr="006C73F9" w:rsidRDefault="00C22D6A" w:rsidP="006C73F9">
            <w:pPr>
              <w:jc w:val="both"/>
              <w:rPr>
                <w:sz w:val="24"/>
                <w:szCs w:val="24"/>
              </w:rPr>
            </w:pPr>
            <w:r w:rsidRPr="006C73F9">
              <w:rPr>
                <w:sz w:val="24"/>
                <w:szCs w:val="24"/>
              </w:rPr>
              <w:t>5</w:t>
            </w:r>
          </w:p>
        </w:tc>
        <w:tc>
          <w:tcPr>
            <w:tcW w:w="5953" w:type="dxa"/>
          </w:tcPr>
          <w:p w14:paraId="4C864746" w14:textId="77777777" w:rsidR="00C22D6A" w:rsidRPr="006C73F9" w:rsidRDefault="00C22D6A" w:rsidP="006C73F9">
            <w:pPr>
              <w:jc w:val="both"/>
              <w:rPr>
                <w:sz w:val="24"/>
                <w:szCs w:val="24"/>
              </w:rPr>
            </w:pPr>
            <w:r w:rsidRPr="006C73F9">
              <w:rPr>
                <w:sz w:val="24"/>
                <w:szCs w:val="24"/>
              </w:rPr>
              <w:t>3 UK (1 alcohol, 1 drugs, 1 gambling),</w:t>
            </w:r>
          </w:p>
          <w:p w14:paraId="566920D8" w14:textId="652D1695" w:rsidR="00C22D6A" w:rsidRPr="006C73F9" w:rsidRDefault="00C22D6A" w:rsidP="006C73F9">
            <w:pPr>
              <w:jc w:val="both"/>
              <w:rPr>
                <w:sz w:val="24"/>
                <w:szCs w:val="24"/>
              </w:rPr>
            </w:pPr>
            <w:r w:rsidRPr="006C73F9">
              <w:rPr>
                <w:sz w:val="24"/>
                <w:szCs w:val="24"/>
              </w:rPr>
              <w:t>1 Wales, 1 Northern Ireland</w:t>
            </w:r>
          </w:p>
        </w:tc>
      </w:tr>
    </w:tbl>
    <w:p w14:paraId="34390EB7" w14:textId="77777777" w:rsidR="00A830BD" w:rsidRPr="006C73F9" w:rsidRDefault="00A830BD" w:rsidP="006C73F9">
      <w:pPr>
        <w:spacing w:line="240" w:lineRule="auto"/>
        <w:rPr>
          <w:i/>
          <w:sz w:val="24"/>
          <w:szCs w:val="24"/>
        </w:rPr>
      </w:pPr>
    </w:p>
    <w:p w14:paraId="37827AF2" w14:textId="77777777" w:rsidR="006C73F9" w:rsidRDefault="006C73F9">
      <w:pPr>
        <w:rPr>
          <w:i/>
          <w:sz w:val="24"/>
          <w:szCs w:val="24"/>
        </w:rPr>
      </w:pPr>
      <w:r>
        <w:rPr>
          <w:i/>
          <w:sz w:val="24"/>
          <w:szCs w:val="24"/>
        </w:rPr>
        <w:br w:type="page"/>
      </w:r>
    </w:p>
    <w:p w14:paraId="2E356BCA" w14:textId="5BDFE5DF" w:rsidR="00C636B9" w:rsidRPr="006C73F9" w:rsidRDefault="00C636B9" w:rsidP="006C73F9">
      <w:pPr>
        <w:spacing w:line="240" w:lineRule="auto"/>
        <w:jc w:val="center"/>
        <w:rPr>
          <w:i/>
          <w:sz w:val="24"/>
          <w:szCs w:val="24"/>
        </w:rPr>
      </w:pPr>
      <w:r w:rsidRPr="006C73F9">
        <w:rPr>
          <w:i/>
          <w:sz w:val="24"/>
          <w:szCs w:val="24"/>
        </w:rPr>
        <w:lastRenderedPageBreak/>
        <w:t xml:space="preserve">Scope of the </w:t>
      </w:r>
      <w:r w:rsidR="00A830BD" w:rsidRPr="006C73F9">
        <w:rPr>
          <w:i/>
          <w:sz w:val="24"/>
          <w:szCs w:val="24"/>
        </w:rPr>
        <w:t xml:space="preserve">Stage 1 </w:t>
      </w:r>
      <w:r w:rsidRPr="006C73F9">
        <w:rPr>
          <w:i/>
          <w:sz w:val="24"/>
          <w:szCs w:val="24"/>
        </w:rPr>
        <w:t>document analysis</w:t>
      </w:r>
    </w:p>
    <w:p w14:paraId="7CC5C22E" w14:textId="3A316C78" w:rsidR="00A97DBA" w:rsidRPr="006C73F9" w:rsidRDefault="00C636B9" w:rsidP="006C73F9">
      <w:pPr>
        <w:spacing w:line="240" w:lineRule="auto"/>
        <w:jc w:val="both"/>
        <w:rPr>
          <w:rFonts w:eastAsia="Times New Roman" w:cstheme="minorHAnsi"/>
          <w:sz w:val="24"/>
          <w:szCs w:val="24"/>
          <w:lang w:eastAsia="en-GB"/>
        </w:rPr>
      </w:pPr>
      <w:r w:rsidRPr="006C73F9">
        <w:rPr>
          <w:sz w:val="24"/>
          <w:szCs w:val="24"/>
        </w:rPr>
        <w:t>B</w:t>
      </w:r>
      <w:r w:rsidR="00A97DBA" w:rsidRPr="006C73F9">
        <w:rPr>
          <w:sz w:val="24"/>
          <w:szCs w:val="24"/>
        </w:rPr>
        <w:t>efore we embark</w:t>
      </w:r>
      <w:r w:rsidRPr="006C73F9">
        <w:rPr>
          <w:sz w:val="24"/>
          <w:szCs w:val="24"/>
        </w:rPr>
        <w:t>ed</w:t>
      </w:r>
      <w:r w:rsidR="00A97DBA" w:rsidRPr="006C73F9">
        <w:rPr>
          <w:sz w:val="24"/>
          <w:szCs w:val="24"/>
        </w:rPr>
        <w:t xml:space="preserve"> on the analysis we obviously need</w:t>
      </w:r>
      <w:r w:rsidRPr="006C73F9">
        <w:rPr>
          <w:sz w:val="24"/>
          <w:szCs w:val="24"/>
        </w:rPr>
        <w:t>ed</w:t>
      </w:r>
      <w:r w:rsidR="00A97DBA" w:rsidRPr="006C73F9">
        <w:rPr>
          <w:sz w:val="24"/>
          <w:szCs w:val="24"/>
        </w:rPr>
        <w:t xml:space="preserve"> to be clear about the </w:t>
      </w:r>
      <w:bookmarkStart w:id="0" w:name="_Hlk527028079"/>
      <w:r w:rsidR="00A97DBA" w:rsidRPr="006C73F9">
        <w:rPr>
          <w:sz w:val="24"/>
          <w:szCs w:val="24"/>
        </w:rPr>
        <w:t>scope of the document analysis</w:t>
      </w:r>
      <w:bookmarkEnd w:id="0"/>
      <w:r w:rsidR="00A97DBA" w:rsidRPr="006C73F9">
        <w:rPr>
          <w:sz w:val="24"/>
          <w:szCs w:val="24"/>
        </w:rPr>
        <w:t xml:space="preserve">. </w:t>
      </w:r>
      <w:r w:rsidR="00A97DBA" w:rsidRPr="006C73F9">
        <w:rPr>
          <w:rFonts w:eastAsia="Times New Roman" w:cstheme="minorHAnsi"/>
          <w:sz w:val="24"/>
          <w:szCs w:val="24"/>
          <w:lang w:eastAsia="en-GB"/>
        </w:rPr>
        <w:t xml:space="preserve">How broad a search for relevant documents should we be undertaking? Should we limit the documentary analysis to a small number of obviously relevant documents produced by government and other national bodies? Should we </w:t>
      </w:r>
      <w:r w:rsidR="00A97DBA" w:rsidRPr="006C73F9">
        <w:rPr>
          <w:rFonts w:cstheme="minorHAnsi"/>
          <w:sz w:val="24"/>
          <w:szCs w:val="24"/>
        </w:rPr>
        <w:t xml:space="preserve">include regional as well as national policy? </w:t>
      </w:r>
      <w:r w:rsidR="00A830BD" w:rsidRPr="006C73F9">
        <w:rPr>
          <w:rFonts w:cstheme="minorHAnsi"/>
          <w:sz w:val="24"/>
          <w:szCs w:val="24"/>
        </w:rPr>
        <w:t>We have for now recognised the following three document categories</w:t>
      </w:r>
      <w:r w:rsidR="005F6830" w:rsidRPr="006C73F9">
        <w:rPr>
          <w:rFonts w:cstheme="minorHAnsi"/>
          <w:sz w:val="24"/>
          <w:szCs w:val="24"/>
        </w:rPr>
        <w:t>.</w:t>
      </w:r>
    </w:p>
    <w:p w14:paraId="0F78360C" w14:textId="2E35AB01" w:rsidR="00A97DBA" w:rsidRPr="006C73F9" w:rsidRDefault="00A97DBA" w:rsidP="006C73F9">
      <w:pPr>
        <w:spacing w:after="0" w:line="240" w:lineRule="auto"/>
        <w:jc w:val="both"/>
        <w:rPr>
          <w:rFonts w:ascii="Calibri" w:eastAsia="Times New Roman" w:hAnsi="Calibri" w:cs="Calibri"/>
          <w:color w:val="1F497D"/>
          <w:sz w:val="24"/>
          <w:szCs w:val="24"/>
          <w:lang w:val="en-NZ" w:eastAsia="en-GB"/>
        </w:rPr>
      </w:pPr>
      <w:bookmarkStart w:id="1" w:name="_Hlk527693177"/>
      <w:r w:rsidRPr="006C73F9">
        <w:rPr>
          <w:rFonts w:ascii="Calibri" w:eastAsia="Times New Roman" w:hAnsi="Calibri" w:cs="Calibri"/>
          <w:color w:val="1F497D"/>
          <w:sz w:val="24"/>
          <w:szCs w:val="24"/>
          <w:lang w:val="en-NZ" w:eastAsia="en-GB"/>
        </w:rPr>
        <w:t xml:space="preserve">Category 1: </w:t>
      </w:r>
      <w:bookmarkStart w:id="2" w:name="_Hlk494962028"/>
      <w:r w:rsidRPr="006C73F9">
        <w:rPr>
          <w:rFonts w:ascii="Calibri" w:eastAsia="Times New Roman" w:hAnsi="Calibri" w:cs="Calibri"/>
          <w:color w:val="1F497D"/>
          <w:sz w:val="24"/>
          <w:szCs w:val="24"/>
          <w:lang w:val="en-NZ" w:eastAsia="en-GB"/>
        </w:rPr>
        <w:t>Government policy documents on alcohol and/or drugs and/or</w:t>
      </w:r>
      <w:r w:rsidR="00126678" w:rsidRPr="006C73F9">
        <w:rPr>
          <w:rFonts w:ascii="Calibri" w:eastAsia="Times New Roman" w:hAnsi="Calibri" w:cs="Calibri"/>
          <w:color w:val="1F497D"/>
          <w:sz w:val="24"/>
          <w:szCs w:val="24"/>
          <w:lang w:val="en-NZ" w:eastAsia="en-GB"/>
        </w:rPr>
        <w:t xml:space="preserve"> </w:t>
      </w:r>
      <w:r w:rsidRPr="006C73F9">
        <w:rPr>
          <w:rFonts w:ascii="Calibri" w:eastAsia="Times New Roman" w:hAnsi="Calibri" w:cs="Calibri"/>
          <w:color w:val="1F497D"/>
          <w:sz w:val="24"/>
          <w:szCs w:val="24"/>
          <w:lang w:val="en-NZ" w:eastAsia="en-GB"/>
        </w:rPr>
        <w:t>gambling</w:t>
      </w:r>
    </w:p>
    <w:bookmarkEnd w:id="1"/>
    <w:bookmarkEnd w:id="2"/>
    <w:p w14:paraId="11BE16DF" w14:textId="77777777" w:rsidR="00A97DBA" w:rsidRPr="006C73F9" w:rsidRDefault="00A97DBA" w:rsidP="006C73F9">
      <w:pPr>
        <w:spacing w:after="0" w:line="240" w:lineRule="auto"/>
        <w:ind w:left="720"/>
        <w:jc w:val="both"/>
        <w:rPr>
          <w:rFonts w:ascii="Calibri" w:eastAsia="Times New Roman" w:hAnsi="Calibri" w:cs="Calibri"/>
          <w:color w:val="1F497D"/>
          <w:sz w:val="24"/>
          <w:szCs w:val="24"/>
          <w:lang w:val="en-NZ" w:eastAsia="en-GB"/>
        </w:rPr>
      </w:pPr>
    </w:p>
    <w:p w14:paraId="44801871" w14:textId="305A4736" w:rsidR="00A97DBA" w:rsidRPr="006C73F9" w:rsidRDefault="00A97DBA" w:rsidP="006C73F9">
      <w:pPr>
        <w:spacing w:after="0" w:line="240" w:lineRule="auto"/>
        <w:ind w:left="720"/>
        <w:jc w:val="both"/>
        <w:rPr>
          <w:rFonts w:ascii="Calibri" w:eastAsia="Times New Roman" w:hAnsi="Calibri" w:cs="Calibri"/>
          <w:color w:val="1F497D"/>
          <w:sz w:val="24"/>
          <w:szCs w:val="24"/>
          <w:lang w:val="en-NZ" w:eastAsia="en-GB"/>
        </w:rPr>
      </w:pPr>
      <w:r w:rsidRPr="006C73F9">
        <w:rPr>
          <w:rFonts w:ascii="Calibri" w:eastAsia="Times New Roman" w:hAnsi="Calibri" w:cs="Calibri"/>
          <w:color w:val="1F497D"/>
          <w:sz w:val="24"/>
          <w:szCs w:val="24"/>
          <w:lang w:val="en-NZ" w:eastAsia="en-GB"/>
        </w:rPr>
        <w:t xml:space="preserve">This is the core category for the Stage I document analysis. It should cover policy documents, produced by Government departments, which set out </w:t>
      </w:r>
      <w:bookmarkStart w:id="3" w:name="_Hlk490641017"/>
      <w:r w:rsidRPr="006C73F9">
        <w:rPr>
          <w:rFonts w:ascii="Calibri" w:eastAsia="Times New Roman" w:hAnsi="Calibri" w:cs="Calibri"/>
          <w:color w:val="1F497D"/>
          <w:sz w:val="24"/>
          <w:szCs w:val="24"/>
          <w:lang w:val="en-NZ" w:eastAsia="en-GB"/>
        </w:rPr>
        <w:t xml:space="preserve">current Government policy </w:t>
      </w:r>
      <w:bookmarkStart w:id="4" w:name="_Hlk490638350"/>
      <w:r w:rsidRPr="006C73F9">
        <w:rPr>
          <w:rFonts w:ascii="Calibri" w:eastAsia="Times New Roman" w:hAnsi="Calibri" w:cs="Calibri"/>
          <w:color w:val="1F497D"/>
          <w:sz w:val="24"/>
          <w:szCs w:val="24"/>
          <w:lang w:val="en-NZ" w:eastAsia="en-GB"/>
        </w:rPr>
        <w:t>on alcohol and/or drugs and/or</w:t>
      </w:r>
      <w:r w:rsidR="00126678" w:rsidRPr="006C73F9">
        <w:rPr>
          <w:rFonts w:ascii="Calibri" w:eastAsia="Times New Roman" w:hAnsi="Calibri" w:cs="Calibri"/>
          <w:color w:val="1F497D"/>
          <w:sz w:val="24"/>
          <w:szCs w:val="24"/>
          <w:lang w:val="en-NZ" w:eastAsia="en-GB"/>
        </w:rPr>
        <w:t xml:space="preserve"> </w:t>
      </w:r>
      <w:r w:rsidRPr="006C73F9">
        <w:rPr>
          <w:rFonts w:ascii="Calibri" w:eastAsia="Times New Roman" w:hAnsi="Calibri" w:cs="Calibri"/>
          <w:color w:val="1F497D"/>
          <w:sz w:val="24"/>
          <w:szCs w:val="24"/>
          <w:lang w:val="en-NZ" w:eastAsia="en-GB"/>
        </w:rPr>
        <w:t>gambling</w:t>
      </w:r>
      <w:bookmarkEnd w:id="3"/>
      <w:bookmarkEnd w:id="4"/>
      <w:r w:rsidRPr="006C73F9">
        <w:rPr>
          <w:rFonts w:ascii="Calibri" w:eastAsia="Times New Roman" w:hAnsi="Calibri" w:cs="Calibri"/>
          <w:color w:val="1F497D"/>
          <w:sz w:val="24"/>
          <w:szCs w:val="24"/>
          <w:lang w:val="en-NZ" w:eastAsia="en-GB"/>
        </w:rPr>
        <w:t xml:space="preserve">. These </w:t>
      </w:r>
      <w:bookmarkStart w:id="5" w:name="_Hlk490638733"/>
      <w:r w:rsidRPr="006C73F9">
        <w:rPr>
          <w:rFonts w:ascii="Calibri" w:eastAsia="Times New Roman" w:hAnsi="Calibri" w:cs="Calibri"/>
          <w:color w:val="1F497D"/>
          <w:sz w:val="24"/>
          <w:szCs w:val="24"/>
          <w:lang w:val="en-NZ" w:eastAsia="en-GB"/>
        </w:rPr>
        <w:t>will be important to include even if they say nothing at all about affected family members (AFMs) because the absence of reference to AFMs would itself be very significant.</w:t>
      </w:r>
      <w:bookmarkEnd w:id="5"/>
      <w:r w:rsidRPr="006C73F9">
        <w:rPr>
          <w:rFonts w:ascii="Calibri" w:eastAsia="Times New Roman" w:hAnsi="Calibri" w:cs="Calibri"/>
          <w:color w:val="1F497D"/>
          <w:sz w:val="24"/>
          <w:szCs w:val="24"/>
          <w:lang w:val="en-NZ" w:eastAsia="en-GB"/>
        </w:rPr>
        <w:t xml:space="preserve"> This core category should also include Acts of Parliament if there has been such an Act specific to alcohol/drug/gambling in the timeframe</w:t>
      </w:r>
      <w:r w:rsidR="00126678" w:rsidRPr="006C73F9">
        <w:rPr>
          <w:rFonts w:ascii="Calibri" w:eastAsia="Times New Roman" w:hAnsi="Calibri" w:cs="Calibri"/>
          <w:color w:val="1F497D"/>
          <w:sz w:val="24"/>
          <w:szCs w:val="24"/>
          <w:lang w:val="en-NZ" w:eastAsia="en-GB"/>
        </w:rPr>
        <w:t xml:space="preserve"> (last 5 years)</w:t>
      </w:r>
      <w:r w:rsidRPr="006C73F9">
        <w:rPr>
          <w:rFonts w:ascii="Calibri" w:eastAsia="Times New Roman" w:hAnsi="Calibri" w:cs="Calibri"/>
          <w:color w:val="1F497D"/>
          <w:sz w:val="24"/>
          <w:szCs w:val="24"/>
          <w:lang w:val="en-NZ" w:eastAsia="en-GB"/>
        </w:rPr>
        <w:t>.</w:t>
      </w:r>
    </w:p>
    <w:p w14:paraId="01368012" w14:textId="77777777" w:rsidR="00A97DBA" w:rsidRPr="006C73F9" w:rsidRDefault="00A97DBA" w:rsidP="006C73F9">
      <w:pPr>
        <w:spacing w:after="0" w:line="240" w:lineRule="auto"/>
        <w:ind w:left="720"/>
        <w:jc w:val="both"/>
        <w:rPr>
          <w:rFonts w:ascii="Calibri" w:eastAsia="Times New Roman" w:hAnsi="Calibri" w:cs="Calibri"/>
          <w:color w:val="1F497D"/>
          <w:sz w:val="24"/>
          <w:szCs w:val="24"/>
          <w:lang w:val="en-NZ" w:eastAsia="en-GB"/>
        </w:rPr>
      </w:pPr>
    </w:p>
    <w:p w14:paraId="22DBDDED" w14:textId="2259D6DC" w:rsidR="00A97DBA" w:rsidRPr="006C73F9" w:rsidRDefault="00A97DBA" w:rsidP="006C73F9">
      <w:pPr>
        <w:spacing w:after="0" w:line="240" w:lineRule="auto"/>
        <w:jc w:val="both"/>
        <w:rPr>
          <w:rFonts w:ascii="Calibri" w:eastAsia="Times New Roman" w:hAnsi="Calibri" w:cs="Calibri"/>
          <w:color w:val="1F497D"/>
          <w:sz w:val="24"/>
          <w:szCs w:val="24"/>
          <w:lang w:val="en-NZ" w:eastAsia="en-GB"/>
        </w:rPr>
      </w:pPr>
      <w:r w:rsidRPr="006C73F9">
        <w:rPr>
          <w:rFonts w:ascii="Calibri" w:eastAsia="Times New Roman" w:hAnsi="Calibri" w:cs="Calibri"/>
          <w:color w:val="1F497D"/>
          <w:sz w:val="24"/>
          <w:szCs w:val="24"/>
          <w:lang w:val="en-NZ" w:eastAsia="en-GB"/>
        </w:rPr>
        <w:t>Category 2: Key documents on alcohol and/or drugs and/or</w:t>
      </w:r>
      <w:r w:rsidR="00126678" w:rsidRPr="006C73F9">
        <w:rPr>
          <w:rFonts w:ascii="Calibri" w:eastAsia="Times New Roman" w:hAnsi="Calibri" w:cs="Calibri"/>
          <w:color w:val="1F497D"/>
          <w:sz w:val="24"/>
          <w:szCs w:val="24"/>
          <w:lang w:val="en-NZ" w:eastAsia="en-GB"/>
        </w:rPr>
        <w:t xml:space="preserve"> </w:t>
      </w:r>
      <w:r w:rsidRPr="006C73F9">
        <w:rPr>
          <w:rFonts w:ascii="Calibri" w:eastAsia="Times New Roman" w:hAnsi="Calibri" w:cs="Calibri"/>
          <w:color w:val="1F497D"/>
          <w:sz w:val="24"/>
          <w:szCs w:val="24"/>
          <w:lang w:val="en-NZ" w:eastAsia="en-GB"/>
        </w:rPr>
        <w:t>gambling policy produced by bodies set up by Government or working closely with Government.</w:t>
      </w:r>
    </w:p>
    <w:p w14:paraId="67DD8717" w14:textId="77777777" w:rsidR="00A97DBA" w:rsidRPr="006C73F9" w:rsidRDefault="00A97DBA" w:rsidP="006C73F9">
      <w:pPr>
        <w:spacing w:after="0" w:line="240" w:lineRule="auto"/>
        <w:ind w:left="720"/>
        <w:jc w:val="both"/>
        <w:rPr>
          <w:rFonts w:ascii="Calibri" w:eastAsia="Times New Roman" w:hAnsi="Calibri" w:cs="Calibri"/>
          <w:color w:val="1F497D"/>
          <w:sz w:val="24"/>
          <w:szCs w:val="24"/>
          <w:lang w:val="en-NZ" w:eastAsia="en-GB"/>
        </w:rPr>
      </w:pPr>
    </w:p>
    <w:p w14:paraId="38947953" w14:textId="3B5629A4" w:rsidR="00A97DBA" w:rsidRPr="006C73F9" w:rsidRDefault="00A97DBA" w:rsidP="006C73F9">
      <w:pPr>
        <w:spacing w:after="0" w:line="240" w:lineRule="auto"/>
        <w:ind w:left="720"/>
        <w:jc w:val="both"/>
        <w:rPr>
          <w:rFonts w:ascii="Calibri" w:eastAsia="Times New Roman" w:hAnsi="Calibri" w:cs="Calibri"/>
          <w:color w:val="1F497D"/>
          <w:sz w:val="24"/>
          <w:szCs w:val="24"/>
          <w:lang w:val="en-NZ" w:eastAsia="en-GB"/>
        </w:rPr>
      </w:pPr>
      <w:r w:rsidRPr="006C73F9">
        <w:rPr>
          <w:rFonts w:ascii="Calibri" w:eastAsia="Times New Roman" w:hAnsi="Calibri" w:cs="Calibri"/>
          <w:color w:val="1F497D"/>
          <w:sz w:val="24"/>
          <w:szCs w:val="24"/>
          <w:lang w:val="en-NZ" w:eastAsia="en-GB"/>
        </w:rPr>
        <w:t>For example, this category might include documents produced by bodies set up to regulate or control the availability of alcohol/drug/</w:t>
      </w:r>
      <w:proofErr w:type="gramStart"/>
      <w:r w:rsidRPr="006C73F9">
        <w:rPr>
          <w:rFonts w:ascii="Calibri" w:eastAsia="Times New Roman" w:hAnsi="Calibri" w:cs="Calibri"/>
          <w:color w:val="1F497D"/>
          <w:sz w:val="24"/>
          <w:szCs w:val="24"/>
          <w:lang w:val="en-NZ" w:eastAsia="en-GB"/>
        </w:rPr>
        <w:t>gambling, or</w:t>
      </w:r>
      <w:proofErr w:type="gramEnd"/>
      <w:r w:rsidRPr="006C73F9">
        <w:rPr>
          <w:rFonts w:ascii="Calibri" w:eastAsia="Times New Roman" w:hAnsi="Calibri" w:cs="Calibri"/>
          <w:color w:val="1F497D"/>
          <w:sz w:val="24"/>
          <w:szCs w:val="24"/>
          <w:lang w:val="en-NZ" w:eastAsia="en-GB"/>
        </w:rPr>
        <w:t xml:space="preserve"> set up to advise Government on research or treatment strategy. Again, it </w:t>
      </w:r>
      <w:r w:rsidR="005012D4" w:rsidRPr="006C73F9">
        <w:rPr>
          <w:rFonts w:ascii="Calibri" w:eastAsia="Times New Roman" w:hAnsi="Calibri" w:cs="Calibri"/>
          <w:color w:val="1F497D"/>
          <w:sz w:val="24"/>
          <w:szCs w:val="24"/>
          <w:lang w:val="en-NZ" w:eastAsia="en-GB"/>
        </w:rPr>
        <w:t>is</w:t>
      </w:r>
      <w:r w:rsidRPr="006C73F9">
        <w:rPr>
          <w:rFonts w:ascii="Calibri" w:eastAsia="Times New Roman" w:hAnsi="Calibri" w:cs="Calibri"/>
          <w:color w:val="1F497D"/>
          <w:sz w:val="24"/>
          <w:szCs w:val="24"/>
          <w:lang w:val="en-NZ" w:eastAsia="en-GB"/>
        </w:rPr>
        <w:t xml:space="preserve"> important to include such documents even if they say nothing at all about affected family members (AFMs) because the absence of reference to AFMs would be significant. </w:t>
      </w:r>
    </w:p>
    <w:p w14:paraId="32FF3FF7" w14:textId="77777777" w:rsidR="00A97DBA" w:rsidRPr="006C73F9" w:rsidRDefault="00A97DBA" w:rsidP="006C73F9">
      <w:pPr>
        <w:spacing w:after="0" w:line="240" w:lineRule="auto"/>
        <w:ind w:left="720"/>
        <w:jc w:val="both"/>
        <w:rPr>
          <w:rFonts w:ascii="Calibri" w:eastAsia="Times New Roman" w:hAnsi="Calibri" w:cs="Calibri"/>
          <w:color w:val="1F497D"/>
          <w:sz w:val="24"/>
          <w:szCs w:val="24"/>
          <w:lang w:eastAsia="en-GB"/>
        </w:rPr>
      </w:pPr>
    </w:p>
    <w:p w14:paraId="60D3E8E1" w14:textId="77777777" w:rsidR="00A97DBA" w:rsidRPr="006C73F9" w:rsidRDefault="00A97DBA" w:rsidP="006C73F9">
      <w:pPr>
        <w:spacing w:after="0" w:line="240" w:lineRule="auto"/>
        <w:jc w:val="both"/>
        <w:rPr>
          <w:rFonts w:ascii="Calibri" w:eastAsia="Times New Roman" w:hAnsi="Calibri" w:cs="Calibri"/>
          <w:color w:val="1F497D"/>
          <w:sz w:val="24"/>
          <w:szCs w:val="24"/>
          <w:lang w:eastAsia="en-GB"/>
        </w:rPr>
      </w:pPr>
      <w:r w:rsidRPr="006C73F9">
        <w:rPr>
          <w:rFonts w:ascii="Calibri" w:eastAsia="Times New Roman" w:hAnsi="Calibri" w:cs="Calibri"/>
          <w:color w:val="1F497D"/>
          <w:sz w:val="24"/>
          <w:szCs w:val="24"/>
          <w:lang w:eastAsia="en-GB"/>
        </w:rPr>
        <w:t>Category 3: Other documents, not principally about alcohol/drug/gambling, but which contain a section or theme which is specifically about substance- or gambling-AFMs</w:t>
      </w:r>
    </w:p>
    <w:p w14:paraId="3C99F933" w14:textId="77777777" w:rsidR="00A97DBA" w:rsidRPr="006C73F9" w:rsidRDefault="00A97DBA" w:rsidP="006C73F9">
      <w:pPr>
        <w:spacing w:after="0" w:line="240" w:lineRule="auto"/>
        <w:ind w:left="720"/>
        <w:jc w:val="both"/>
        <w:rPr>
          <w:rFonts w:ascii="Calibri" w:eastAsia="Times New Roman" w:hAnsi="Calibri" w:cs="Calibri"/>
          <w:color w:val="1F497D"/>
          <w:sz w:val="24"/>
          <w:szCs w:val="24"/>
          <w:lang w:eastAsia="en-GB"/>
        </w:rPr>
      </w:pPr>
    </w:p>
    <w:p w14:paraId="79F9DDDC" w14:textId="77777777" w:rsidR="00A97DBA" w:rsidRPr="006C73F9" w:rsidRDefault="00A97DBA" w:rsidP="006C73F9">
      <w:pPr>
        <w:spacing w:after="0" w:line="240" w:lineRule="auto"/>
        <w:ind w:left="720"/>
        <w:jc w:val="both"/>
        <w:rPr>
          <w:rFonts w:ascii="Calibri" w:eastAsia="Times New Roman" w:hAnsi="Calibri" w:cs="Calibri"/>
          <w:color w:val="1F497D"/>
          <w:sz w:val="24"/>
          <w:szCs w:val="24"/>
          <w:lang w:eastAsia="en-GB"/>
        </w:rPr>
      </w:pPr>
      <w:r w:rsidRPr="006C73F9">
        <w:rPr>
          <w:rFonts w:ascii="Calibri" w:eastAsia="Times New Roman" w:hAnsi="Calibri" w:cs="Calibri"/>
          <w:color w:val="1F497D"/>
          <w:sz w:val="24"/>
          <w:szCs w:val="24"/>
          <w:lang w:eastAsia="en-GB"/>
        </w:rPr>
        <w:t>This category would include policy documents which are specifically about families or family members and which recognise substance- or gambling-AFMs as a relevant group. For example, there may be such documents which are principally about child protection, domestic violence, mental health, or crime and justice. Because there are likely to be many documents which address those and other issues, we would only include them if they did contain a section or theme specifically about substance- or gambling-AFMs.</w:t>
      </w:r>
    </w:p>
    <w:p w14:paraId="39E2FDCA" w14:textId="6B9489D7" w:rsidR="00A97DBA" w:rsidRPr="006C73F9" w:rsidRDefault="00A97DBA" w:rsidP="006C73F9">
      <w:pPr>
        <w:spacing w:before="480" w:after="0" w:line="240" w:lineRule="auto"/>
        <w:jc w:val="both"/>
        <w:rPr>
          <w:sz w:val="24"/>
          <w:szCs w:val="24"/>
        </w:rPr>
      </w:pPr>
      <w:r w:rsidRPr="006C73F9">
        <w:rPr>
          <w:sz w:val="24"/>
          <w:szCs w:val="24"/>
        </w:rPr>
        <w:t xml:space="preserve">One consideration for some countries </w:t>
      </w:r>
      <w:r w:rsidR="005012D4" w:rsidRPr="006C73F9">
        <w:rPr>
          <w:sz w:val="24"/>
          <w:szCs w:val="24"/>
        </w:rPr>
        <w:t>is</w:t>
      </w:r>
      <w:r w:rsidRPr="006C73F9">
        <w:rPr>
          <w:sz w:val="24"/>
          <w:szCs w:val="24"/>
        </w:rPr>
        <w:t xml:space="preserve"> whether it is thought best to go for the whole country or for one region or state. For countries that are large and diverse, and/or if relevant laws and regulations vary a lot from one part of the country to another, it may well be sensible to concentrate on just one, possibly two, areas within the country. On the other hand, people taking the lead on the project may for their own reasons want to make the project nation-wide.</w:t>
      </w:r>
    </w:p>
    <w:p w14:paraId="5A8BE3D9" w14:textId="41949D48" w:rsidR="00EA3571" w:rsidRPr="006C73F9" w:rsidRDefault="00C636B9" w:rsidP="006C73F9">
      <w:pPr>
        <w:spacing w:before="480" w:after="0" w:line="240" w:lineRule="auto"/>
        <w:jc w:val="center"/>
        <w:rPr>
          <w:rFonts w:cstheme="minorHAnsi"/>
          <w:i/>
          <w:sz w:val="24"/>
          <w:szCs w:val="24"/>
        </w:rPr>
      </w:pPr>
      <w:r w:rsidRPr="006C73F9">
        <w:rPr>
          <w:i/>
          <w:sz w:val="24"/>
          <w:szCs w:val="24"/>
        </w:rPr>
        <w:t>Analysis of the documents</w:t>
      </w:r>
      <w:r w:rsidR="00F0443F" w:rsidRPr="006C73F9">
        <w:rPr>
          <w:i/>
          <w:sz w:val="24"/>
          <w:szCs w:val="24"/>
        </w:rPr>
        <w:t xml:space="preserve">: </w:t>
      </w:r>
      <w:r w:rsidR="00EA3571" w:rsidRPr="006C73F9">
        <w:rPr>
          <w:rFonts w:cstheme="minorHAnsi"/>
          <w:i/>
          <w:sz w:val="24"/>
          <w:szCs w:val="24"/>
        </w:rPr>
        <w:t>I</w:t>
      </w:r>
      <w:r w:rsidR="00FE53BA" w:rsidRPr="006C73F9">
        <w:rPr>
          <w:rFonts w:cstheme="minorHAnsi"/>
          <w:i/>
          <w:sz w:val="24"/>
          <w:szCs w:val="24"/>
        </w:rPr>
        <w:t>ndications</w:t>
      </w:r>
      <w:r w:rsidR="00EA3571" w:rsidRPr="006C73F9">
        <w:rPr>
          <w:rFonts w:cstheme="minorHAnsi"/>
          <w:i/>
          <w:sz w:val="24"/>
          <w:szCs w:val="24"/>
        </w:rPr>
        <w:t xml:space="preserve"> so far</w:t>
      </w:r>
    </w:p>
    <w:p w14:paraId="6AEEC80C" w14:textId="4C405392" w:rsidR="00F0443F" w:rsidRPr="006C73F9" w:rsidRDefault="00F0443F" w:rsidP="006C73F9">
      <w:pPr>
        <w:spacing w:before="480" w:line="240" w:lineRule="auto"/>
        <w:jc w:val="both"/>
        <w:rPr>
          <w:b/>
          <w:sz w:val="24"/>
          <w:szCs w:val="24"/>
        </w:rPr>
      </w:pPr>
      <w:r w:rsidRPr="006C73F9">
        <w:rPr>
          <w:b/>
          <w:sz w:val="24"/>
          <w:szCs w:val="24"/>
        </w:rPr>
        <w:t>Overall there is very limited recognition of ‘affected family members’</w:t>
      </w:r>
    </w:p>
    <w:p w14:paraId="1CEBEF0C" w14:textId="77777777" w:rsidR="005F6830" w:rsidRPr="006C73F9" w:rsidRDefault="00F0443F" w:rsidP="006C73F9">
      <w:pPr>
        <w:spacing w:before="480" w:line="240" w:lineRule="auto"/>
        <w:jc w:val="both"/>
        <w:rPr>
          <w:rFonts w:cstheme="minorHAnsi"/>
          <w:sz w:val="24"/>
          <w:szCs w:val="24"/>
        </w:rPr>
      </w:pPr>
      <w:r w:rsidRPr="006C73F9">
        <w:rPr>
          <w:rFonts w:cstheme="minorHAnsi"/>
          <w:sz w:val="24"/>
          <w:szCs w:val="24"/>
        </w:rPr>
        <w:t>This limited recognition takes several forms:</w:t>
      </w:r>
    </w:p>
    <w:p w14:paraId="574B00F2" w14:textId="77777777" w:rsidR="00FE53BA" w:rsidRPr="006C73F9" w:rsidRDefault="00F0443F" w:rsidP="006C73F9">
      <w:pPr>
        <w:spacing w:before="480" w:line="240" w:lineRule="auto"/>
        <w:jc w:val="both"/>
        <w:rPr>
          <w:rFonts w:cstheme="minorHAnsi"/>
          <w:sz w:val="24"/>
          <w:szCs w:val="24"/>
        </w:rPr>
      </w:pPr>
      <w:r w:rsidRPr="006C73F9">
        <w:rPr>
          <w:rFonts w:cstheme="minorHAnsi"/>
          <w:sz w:val="24"/>
          <w:szCs w:val="24"/>
        </w:rPr>
        <w:t>1</w:t>
      </w:r>
      <w:r w:rsidR="005F6830" w:rsidRPr="006C73F9">
        <w:rPr>
          <w:rFonts w:cstheme="minorHAnsi"/>
          <w:sz w:val="24"/>
          <w:szCs w:val="24"/>
        </w:rPr>
        <w:t>.</w:t>
      </w:r>
      <w:r w:rsidRPr="006C73F9">
        <w:rPr>
          <w:rFonts w:cstheme="minorHAnsi"/>
          <w:sz w:val="24"/>
          <w:szCs w:val="24"/>
        </w:rPr>
        <w:t xml:space="preserve"> </w:t>
      </w:r>
      <w:r w:rsidR="00E316A1" w:rsidRPr="006C73F9">
        <w:rPr>
          <w:rFonts w:cstheme="minorHAnsi"/>
          <w:b/>
          <w:sz w:val="24"/>
          <w:szCs w:val="24"/>
        </w:rPr>
        <w:t>No mention</w:t>
      </w:r>
      <w:r w:rsidR="005F6830" w:rsidRPr="006C73F9">
        <w:rPr>
          <w:rFonts w:cstheme="minorHAnsi"/>
          <w:b/>
          <w:sz w:val="24"/>
          <w:szCs w:val="24"/>
        </w:rPr>
        <w:t xml:space="preserve"> of AFMs at all</w:t>
      </w:r>
      <w:r w:rsidR="005F6830" w:rsidRPr="006C73F9">
        <w:rPr>
          <w:rFonts w:cstheme="minorHAnsi"/>
          <w:sz w:val="24"/>
          <w:szCs w:val="24"/>
        </w:rPr>
        <w:t>.</w:t>
      </w:r>
    </w:p>
    <w:p w14:paraId="62C2EE43" w14:textId="49D2D144" w:rsidR="00E316A1" w:rsidRPr="006C73F9" w:rsidRDefault="005F6830" w:rsidP="006C73F9">
      <w:pPr>
        <w:spacing w:before="480" w:after="0" w:line="240" w:lineRule="auto"/>
        <w:jc w:val="both"/>
        <w:rPr>
          <w:rFonts w:cstheme="minorHAnsi"/>
          <w:sz w:val="24"/>
          <w:szCs w:val="24"/>
        </w:rPr>
      </w:pPr>
      <w:r w:rsidRPr="006C73F9">
        <w:rPr>
          <w:rFonts w:cstheme="minorHAnsi"/>
          <w:sz w:val="24"/>
          <w:szCs w:val="24"/>
        </w:rPr>
        <w:lastRenderedPageBreak/>
        <w:t>An example is</w:t>
      </w:r>
      <w:r w:rsidR="00E316A1" w:rsidRPr="006C73F9">
        <w:rPr>
          <w:rFonts w:cstheme="minorHAnsi"/>
          <w:sz w:val="24"/>
          <w:szCs w:val="24"/>
        </w:rPr>
        <w:t xml:space="preserve"> </w:t>
      </w:r>
      <w:r w:rsidR="00FE53BA" w:rsidRPr="006C73F9">
        <w:rPr>
          <w:rFonts w:cstheme="minorHAnsi"/>
          <w:sz w:val="24"/>
          <w:szCs w:val="24"/>
        </w:rPr>
        <w:t xml:space="preserve">the 2015 Brazilian document from the </w:t>
      </w:r>
      <w:r w:rsidRPr="006C73F9">
        <w:rPr>
          <w:rFonts w:eastAsia="Times New Roman" w:cstheme="minorHAnsi"/>
          <w:color w:val="212121"/>
          <w:sz w:val="24"/>
          <w:szCs w:val="24"/>
          <w:lang w:val="en" w:eastAsia="pt-BR"/>
        </w:rPr>
        <w:t>Ministry of Justice and Public Security - National Secretariat for Drug Policy</w:t>
      </w:r>
      <w:r w:rsidRPr="006C73F9">
        <w:rPr>
          <w:rFonts w:eastAsia="Times New Roman" w:cstheme="minorHAnsi"/>
          <w:i/>
          <w:color w:val="212121"/>
          <w:sz w:val="24"/>
          <w:szCs w:val="24"/>
          <w:lang w:val="en" w:eastAsia="pt-BR"/>
        </w:rPr>
        <w:t xml:space="preserve"> </w:t>
      </w:r>
      <w:r w:rsidRPr="006C73F9">
        <w:rPr>
          <w:rFonts w:cstheme="minorHAnsi"/>
          <w:sz w:val="24"/>
          <w:szCs w:val="24"/>
        </w:rPr>
        <w:t xml:space="preserve">(although </w:t>
      </w:r>
      <w:r w:rsidR="00C35278" w:rsidRPr="006C73F9">
        <w:rPr>
          <w:rFonts w:cstheme="minorHAnsi"/>
          <w:sz w:val="24"/>
          <w:szCs w:val="24"/>
        </w:rPr>
        <w:t xml:space="preserve">AFMs are mentioned </w:t>
      </w:r>
      <w:r w:rsidRPr="006C73F9">
        <w:rPr>
          <w:rFonts w:cstheme="minorHAnsi"/>
          <w:sz w:val="24"/>
          <w:szCs w:val="24"/>
        </w:rPr>
        <w:t xml:space="preserve">in another </w:t>
      </w:r>
      <w:r w:rsidR="00E316A1" w:rsidRPr="006C73F9">
        <w:rPr>
          <w:rFonts w:cstheme="minorHAnsi"/>
          <w:sz w:val="24"/>
          <w:szCs w:val="24"/>
        </w:rPr>
        <w:t>Brazil</w:t>
      </w:r>
      <w:r w:rsidRPr="006C73F9">
        <w:rPr>
          <w:rFonts w:cstheme="minorHAnsi"/>
          <w:sz w:val="24"/>
          <w:szCs w:val="24"/>
        </w:rPr>
        <w:t>ian document</w:t>
      </w:r>
      <w:r w:rsidR="00C35278" w:rsidRPr="006C73F9">
        <w:rPr>
          <w:rFonts w:cstheme="minorHAnsi"/>
          <w:sz w:val="24"/>
          <w:szCs w:val="24"/>
        </w:rPr>
        <w:t>,</w:t>
      </w:r>
      <w:r w:rsidRPr="006C73F9">
        <w:rPr>
          <w:rFonts w:cstheme="minorHAnsi"/>
          <w:sz w:val="24"/>
          <w:szCs w:val="24"/>
        </w:rPr>
        <w:t xml:space="preserve"> from the</w:t>
      </w:r>
      <w:r w:rsidR="00E316A1" w:rsidRPr="006C73F9">
        <w:rPr>
          <w:rFonts w:cstheme="minorHAnsi"/>
          <w:sz w:val="24"/>
          <w:szCs w:val="24"/>
        </w:rPr>
        <w:t xml:space="preserve"> </w:t>
      </w:r>
      <w:r w:rsidRPr="006C73F9">
        <w:rPr>
          <w:rFonts w:eastAsia="Times New Roman" w:cstheme="minorHAnsi"/>
          <w:color w:val="212121"/>
          <w:sz w:val="24"/>
          <w:szCs w:val="24"/>
          <w:lang w:val="en" w:eastAsia="pt-BR"/>
        </w:rPr>
        <w:t xml:space="preserve">Ministry of Health which </w:t>
      </w:r>
      <w:r w:rsidR="00FE53BA" w:rsidRPr="006C73F9">
        <w:rPr>
          <w:rFonts w:eastAsia="Times New Roman" w:cstheme="minorHAnsi"/>
          <w:color w:val="212121"/>
          <w:sz w:val="24"/>
          <w:szCs w:val="24"/>
          <w:lang w:val="en" w:eastAsia="pt-BR"/>
        </w:rPr>
        <w:t>gives</w:t>
      </w:r>
      <w:r w:rsidRPr="006C73F9">
        <w:rPr>
          <w:rFonts w:eastAsia="Times New Roman" w:cstheme="minorHAnsi"/>
          <w:color w:val="212121"/>
          <w:sz w:val="24"/>
          <w:szCs w:val="24"/>
          <w:lang w:val="en" w:eastAsia="pt-BR"/>
        </w:rPr>
        <w:t xml:space="preserve"> guidelines </w:t>
      </w:r>
      <w:r w:rsidR="00FE53BA" w:rsidRPr="006C73F9">
        <w:rPr>
          <w:rFonts w:eastAsia="Times New Roman" w:cstheme="minorHAnsi"/>
          <w:color w:val="212121"/>
          <w:sz w:val="24"/>
          <w:szCs w:val="24"/>
          <w:lang w:val="en" w:eastAsia="pt-BR"/>
        </w:rPr>
        <w:t>for</w:t>
      </w:r>
      <w:r w:rsidRPr="006C73F9">
        <w:rPr>
          <w:rFonts w:eastAsia="Times New Roman" w:cstheme="minorHAnsi"/>
          <w:color w:val="212121"/>
          <w:sz w:val="24"/>
          <w:szCs w:val="24"/>
          <w:lang w:val="en" w:eastAsia="pt-BR"/>
        </w:rPr>
        <w:t xml:space="preserve"> Psychosocial Care Centers </w:t>
      </w:r>
      <w:r w:rsidR="00FE53BA" w:rsidRPr="006C73F9">
        <w:rPr>
          <w:rFonts w:eastAsia="Times New Roman" w:cstheme="minorHAnsi"/>
          <w:color w:val="212121"/>
          <w:sz w:val="24"/>
          <w:szCs w:val="24"/>
          <w:lang w:val="en" w:eastAsia="pt-BR"/>
        </w:rPr>
        <w:t>when dealing with</w:t>
      </w:r>
      <w:r w:rsidRPr="006C73F9">
        <w:rPr>
          <w:rFonts w:eastAsia="Times New Roman" w:cstheme="minorHAnsi"/>
          <w:color w:val="212121"/>
          <w:sz w:val="24"/>
          <w:szCs w:val="24"/>
          <w:lang w:val="en" w:eastAsia="pt-BR"/>
        </w:rPr>
        <w:t xml:space="preserve"> problems related to substance use</w:t>
      </w:r>
      <w:r w:rsidRPr="006C73F9">
        <w:rPr>
          <w:rFonts w:cstheme="minorHAnsi"/>
          <w:sz w:val="24"/>
          <w:szCs w:val="24"/>
        </w:rPr>
        <w:t>).</w:t>
      </w:r>
    </w:p>
    <w:p w14:paraId="369F279B" w14:textId="77777777" w:rsidR="006C73F9" w:rsidRDefault="006C73F9" w:rsidP="006C73F9">
      <w:pPr>
        <w:spacing w:line="240" w:lineRule="auto"/>
        <w:jc w:val="both"/>
        <w:rPr>
          <w:rFonts w:cstheme="minorHAnsi"/>
          <w:sz w:val="24"/>
          <w:szCs w:val="24"/>
        </w:rPr>
      </w:pPr>
    </w:p>
    <w:p w14:paraId="35CF8791" w14:textId="23B37513" w:rsidR="00364CD4" w:rsidRPr="006C73F9" w:rsidRDefault="00F0443F" w:rsidP="006C73F9">
      <w:pPr>
        <w:spacing w:line="240" w:lineRule="auto"/>
        <w:jc w:val="both"/>
        <w:rPr>
          <w:rFonts w:cstheme="minorHAnsi"/>
          <w:sz w:val="24"/>
          <w:szCs w:val="24"/>
        </w:rPr>
      </w:pPr>
      <w:r w:rsidRPr="006C73F9">
        <w:rPr>
          <w:rFonts w:cstheme="minorHAnsi"/>
          <w:sz w:val="24"/>
          <w:szCs w:val="24"/>
        </w:rPr>
        <w:t>2</w:t>
      </w:r>
      <w:r w:rsidR="005F6830" w:rsidRPr="006C73F9">
        <w:rPr>
          <w:rFonts w:cstheme="minorHAnsi"/>
          <w:sz w:val="24"/>
          <w:szCs w:val="24"/>
        </w:rPr>
        <w:t xml:space="preserve">. </w:t>
      </w:r>
      <w:r w:rsidRPr="006C73F9">
        <w:rPr>
          <w:rFonts w:cstheme="minorHAnsi"/>
          <w:sz w:val="24"/>
          <w:szCs w:val="24"/>
        </w:rPr>
        <w:t xml:space="preserve"> </w:t>
      </w:r>
      <w:r w:rsidR="00364CD4" w:rsidRPr="006C73F9">
        <w:rPr>
          <w:rFonts w:eastAsia="Times New Roman" w:cstheme="minorHAnsi"/>
          <w:b/>
          <w:sz w:val="24"/>
          <w:szCs w:val="24"/>
          <w:lang w:eastAsia="en-GB"/>
        </w:rPr>
        <w:t>Mention in name only</w:t>
      </w:r>
      <w:r w:rsidR="00364CD4" w:rsidRPr="006C73F9">
        <w:rPr>
          <w:rFonts w:eastAsia="Times New Roman" w:cstheme="minorHAnsi"/>
          <w:sz w:val="24"/>
          <w:szCs w:val="24"/>
          <w:lang w:eastAsia="en-GB"/>
        </w:rPr>
        <w:t xml:space="preserve"> (</w:t>
      </w:r>
      <w:r w:rsidR="00FE53BA" w:rsidRPr="006C73F9">
        <w:rPr>
          <w:rFonts w:eastAsia="Times New Roman" w:cstheme="minorHAnsi"/>
          <w:sz w:val="24"/>
          <w:szCs w:val="24"/>
          <w:lang w:eastAsia="en-GB"/>
        </w:rPr>
        <w:t xml:space="preserve">e.g. repetition of the phrase, </w:t>
      </w:r>
      <w:r w:rsidR="00364CD4" w:rsidRPr="006C73F9">
        <w:rPr>
          <w:rFonts w:eastAsia="Times New Roman" w:cstheme="minorHAnsi"/>
          <w:sz w:val="24"/>
          <w:szCs w:val="24"/>
          <w:lang w:eastAsia="en-GB"/>
        </w:rPr>
        <w:t>‘and their families‘)</w:t>
      </w:r>
      <w:r w:rsidR="00FE53BA" w:rsidRPr="006C73F9">
        <w:rPr>
          <w:rFonts w:eastAsia="Times New Roman" w:cstheme="minorHAnsi"/>
          <w:sz w:val="24"/>
          <w:szCs w:val="24"/>
          <w:lang w:eastAsia="en-GB"/>
        </w:rPr>
        <w:t>, with n</w:t>
      </w:r>
      <w:r w:rsidR="00FE53BA" w:rsidRPr="006C73F9">
        <w:rPr>
          <w:rFonts w:cstheme="minorHAnsi"/>
          <w:sz w:val="24"/>
          <w:szCs w:val="24"/>
        </w:rPr>
        <w:t>o special section or focus on families</w:t>
      </w:r>
      <w:r w:rsidR="00FE53BA" w:rsidRPr="006C73F9">
        <w:rPr>
          <w:rFonts w:eastAsia="Times New Roman" w:cstheme="minorHAnsi"/>
          <w:sz w:val="24"/>
          <w:szCs w:val="24"/>
          <w:lang w:eastAsia="en-GB"/>
        </w:rPr>
        <w:t xml:space="preserve"> and nothing specific said about family members</w:t>
      </w:r>
      <w:r w:rsidR="00364CD4" w:rsidRPr="006C73F9">
        <w:rPr>
          <w:rFonts w:eastAsia="Times New Roman" w:cstheme="minorHAnsi"/>
          <w:sz w:val="24"/>
          <w:szCs w:val="24"/>
          <w:lang w:eastAsia="en-GB"/>
        </w:rPr>
        <w:t>. This is very common</w:t>
      </w:r>
      <w:r w:rsidR="00364CD4" w:rsidRPr="006C73F9">
        <w:rPr>
          <w:rFonts w:cstheme="minorHAnsi"/>
          <w:sz w:val="24"/>
          <w:szCs w:val="24"/>
        </w:rPr>
        <w:t>.</w:t>
      </w:r>
    </w:p>
    <w:p w14:paraId="4D7400CD" w14:textId="0354FE5B" w:rsidR="00364CD4" w:rsidRPr="006C73F9" w:rsidRDefault="00364CD4" w:rsidP="006C73F9">
      <w:pPr>
        <w:spacing w:line="240" w:lineRule="auto"/>
        <w:jc w:val="both"/>
        <w:rPr>
          <w:rFonts w:cstheme="minorHAnsi"/>
          <w:sz w:val="24"/>
          <w:szCs w:val="24"/>
        </w:rPr>
      </w:pPr>
      <w:r w:rsidRPr="006C73F9">
        <w:rPr>
          <w:rFonts w:cstheme="minorHAnsi"/>
          <w:sz w:val="24"/>
          <w:szCs w:val="24"/>
        </w:rPr>
        <w:t xml:space="preserve">e.g. </w:t>
      </w:r>
      <w:r w:rsidR="00810FDF" w:rsidRPr="006C73F9">
        <w:rPr>
          <w:rFonts w:cstheme="minorHAnsi"/>
          <w:sz w:val="24"/>
          <w:szCs w:val="24"/>
        </w:rPr>
        <w:t xml:space="preserve">The </w:t>
      </w:r>
      <w:r w:rsidR="001A695B" w:rsidRPr="006C73F9">
        <w:rPr>
          <w:rFonts w:cstheme="minorHAnsi"/>
          <w:sz w:val="24"/>
          <w:szCs w:val="24"/>
        </w:rPr>
        <w:t xml:space="preserve">2016-17 </w:t>
      </w:r>
      <w:r w:rsidR="00810FDF" w:rsidRPr="006C73F9">
        <w:rPr>
          <w:rFonts w:cstheme="minorHAnsi"/>
          <w:sz w:val="24"/>
          <w:szCs w:val="24"/>
        </w:rPr>
        <w:t>a</w:t>
      </w:r>
      <w:r w:rsidRPr="006C73F9">
        <w:rPr>
          <w:rFonts w:cstheme="minorHAnsi"/>
          <w:sz w:val="24"/>
          <w:szCs w:val="24"/>
        </w:rPr>
        <w:t>nnual report of the Department of Social Justice and Empowerment, Gov</w:t>
      </w:r>
      <w:r w:rsidR="00FE53BA" w:rsidRPr="006C73F9">
        <w:rPr>
          <w:rFonts w:cstheme="minorHAnsi"/>
          <w:sz w:val="24"/>
          <w:szCs w:val="24"/>
        </w:rPr>
        <w:t>ernment</w:t>
      </w:r>
      <w:r w:rsidRPr="006C73F9">
        <w:rPr>
          <w:rFonts w:cstheme="minorHAnsi"/>
          <w:sz w:val="24"/>
          <w:szCs w:val="24"/>
        </w:rPr>
        <w:t xml:space="preserve"> of India. The remit of the Ministry of SJ&amp;E is to empower various socially and economically marginalised groups including the ‘victims of alcoholism and substance abuse’ which ‘generally includes the immediate family also’. Although there are statements to the effect that it is best to take </w:t>
      </w:r>
      <w:r w:rsidR="00810FDF" w:rsidRPr="006C73F9">
        <w:rPr>
          <w:rFonts w:cstheme="minorHAnsi"/>
          <w:sz w:val="24"/>
          <w:szCs w:val="24"/>
        </w:rPr>
        <w:t>‘</w:t>
      </w:r>
      <w:r w:rsidRPr="006C73F9">
        <w:rPr>
          <w:rFonts w:cstheme="minorHAnsi"/>
          <w:sz w:val="24"/>
          <w:szCs w:val="24"/>
        </w:rPr>
        <w:t>a family/community-based approach’, AFMs are nowhere a focus in the document.</w:t>
      </w:r>
    </w:p>
    <w:p w14:paraId="53BEFF2F" w14:textId="27F50BE4" w:rsidR="00810FDF" w:rsidRPr="006C73F9" w:rsidRDefault="00364CD4" w:rsidP="006C73F9">
      <w:pPr>
        <w:spacing w:after="0" w:line="240" w:lineRule="auto"/>
        <w:jc w:val="both"/>
        <w:rPr>
          <w:rFonts w:cstheme="minorHAnsi"/>
          <w:b/>
          <w:sz w:val="24"/>
          <w:szCs w:val="24"/>
        </w:rPr>
      </w:pPr>
      <w:r w:rsidRPr="006C73F9">
        <w:rPr>
          <w:rFonts w:cstheme="minorHAnsi"/>
          <w:sz w:val="24"/>
          <w:szCs w:val="24"/>
        </w:rPr>
        <w:t xml:space="preserve">3. </w:t>
      </w:r>
      <w:r w:rsidR="005F6830" w:rsidRPr="006C73F9">
        <w:rPr>
          <w:rFonts w:cstheme="minorHAnsi"/>
          <w:b/>
          <w:sz w:val="24"/>
          <w:szCs w:val="24"/>
        </w:rPr>
        <w:t>Families are mentioned, sometimes quite frequently</w:t>
      </w:r>
      <w:r w:rsidR="002670FF" w:rsidRPr="006C73F9">
        <w:rPr>
          <w:rFonts w:cstheme="minorHAnsi"/>
          <w:b/>
          <w:sz w:val="24"/>
          <w:szCs w:val="24"/>
        </w:rPr>
        <w:t>,</w:t>
      </w:r>
      <w:r w:rsidR="005F6830" w:rsidRPr="006C73F9">
        <w:rPr>
          <w:rFonts w:cstheme="minorHAnsi"/>
          <w:b/>
          <w:sz w:val="24"/>
          <w:szCs w:val="24"/>
        </w:rPr>
        <w:t xml:space="preserve"> but</w:t>
      </w:r>
      <w:r w:rsidR="00F0443F" w:rsidRPr="006C73F9">
        <w:rPr>
          <w:rFonts w:cstheme="minorHAnsi"/>
          <w:b/>
          <w:sz w:val="24"/>
          <w:szCs w:val="24"/>
        </w:rPr>
        <w:t xml:space="preserve"> </w:t>
      </w:r>
      <w:r w:rsidR="002670FF" w:rsidRPr="006C73F9">
        <w:rPr>
          <w:rFonts w:cstheme="minorHAnsi"/>
          <w:b/>
          <w:sz w:val="24"/>
          <w:szCs w:val="24"/>
        </w:rPr>
        <w:t xml:space="preserve">AFMs in general </w:t>
      </w:r>
      <w:r w:rsidR="00F0443F" w:rsidRPr="006C73F9">
        <w:rPr>
          <w:rFonts w:cstheme="minorHAnsi"/>
          <w:b/>
          <w:sz w:val="24"/>
          <w:szCs w:val="24"/>
        </w:rPr>
        <w:t>remain largely peripheral to the document’s main concerns</w:t>
      </w:r>
      <w:r w:rsidR="002A63AC" w:rsidRPr="006C73F9">
        <w:rPr>
          <w:rFonts w:cstheme="minorHAnsi"/>
          <w:b/>
          <w:sz w:val="24"/>
          <w:szCs w:val="24"/>
        </w:rPr>
        <w:t xml:space="preserve"> or are not clearly identified as needing help or advice in their own right.</w:t>
      </w:r>
    </w:p>
    <w:p w14:paraId="68EE1404" w14:textId="77777777" w:rsidR="00810FDF" w:rsidRPr="006C73F9" w:rsidRDefault="00810FDF" w:rsidP="006C73F9">
      <w:pPr>
        <w:spacing w:after="0" w:line="240" w:lineRule="auto"/>
        <w:jc w:val="both"/>
        <w:rPr>
          <w:rFonts w:cstheme="minorHAnsi"/>
          <w:sz w:val="24"/>
          <w:szCs w:val="24"/>
        </w:rPr>
      </w:pPr>
    </w:p>
    <w:p w14:paraId="53A1CC59" w14:textId="63AEBD0F" w:rsidR="00EA3571" w:rsidRPr="006C73F9" w:rsidRDefault="00F0443F" w:rsidP="006C73F9">
      <w:pPr>
        <w:spacing w:after="0" w:line="240" w:lineRule="auto"/>
        <w:jc w:val="both"/>
        <w:rPr>
          <w:rFonts w:eastAsia="Times New Roman" w:cstheme="minorHAnsi"/>
          <w:sz w:val="24"/>
          <w:szCs w:val="24"/>
          <w:lang w:eastAsia="en-GB"/>
        </w:rPr>
      </w:pPr>
      <w:r w:rsidRPr="006C73F9">
        <w:rPr>
          <w:rFonts w:cstheme="minorHAnsi"/>
          <w:sz w:val="24"/>
          <w:szCs w:val="24"/>
        </w:rPr>
        <w:t xml:space="preserve">e.g. </w:t>
      </w:r>
      <w:r w:rsidR="00810FDF" w:rsidRPr="006C73F9">
        <w:rPr>
          <w:rFonts w:cstheme="minorHAnsi"/>
          <w:sz w:val="24"/>
          <w:szCs w:val="24"/>
        </w:rPr>
        <w:t xml:space="preserve">the </w:t>
      </w:r>
      <w:r w:rsidRPr="006C73F9">
        <w:rPr>
          <w:rFonts w:cstheme="minorHAnsi"/>
          <w:sz w:val="24"/>
          <w:szCs w:val="24"/>
        </w:rPr>
        <w:t>UK Gov</w:t>
      </w:r>
      <w:r w:rsidR="00810FDF" w:rsidRPr="006C73F9">
        <w:rPr>
          <w:rFonts w:cstheme="minorHAnsi"/>
          <w:sz w:val="24"/>
          <w:szCs w:val="24"/>
        </w:rPr>
        <w:t>ernment</w:t>
      </w:r>
      <w:r w:rsidRPr="006C73F9">
        <w:rPr>
          <w:rFonts w:cstheme="minorHAnsi"/>
          <w:sz w:val="24"/>
          <w:szCs w:val="24"/>
        </w:rPr>
        <w:t xml:space="preserve"> </w:t>
      </w:r>
      <w:r w:rsidR="005F6830" w:rsidRPr="006C73F9">
        <w:rPr>
          <w:rFonts w:cstheme="minorHAnsi"/>
          <w:sz w:val="24"/>
          <w:szCs w:val="24"/>
        </w:rPr>
        <w:t xml:space="preserve">Alcohol </w:t>
      </w:r>
      <w:r w:rsidRPr="006C73F9">
        <w:rPr>
          <w:rFonts w:cstheme="minorHAnsi"/>
          <w:sz w:val="24"/>
          <w:szCs w:val="24"/>
        </w:rPr>
        <w:t>Strat</w:t>
      </w:r>
      <w:r w:rsidR="005F6830" w:rsidRPr="006C73F9">
        <w:rPr>
          <w:rFonts w:cstheme="minorHAnsi"/>
          <w:sz w:val="24"/>
          <w:szCs w:val="24"/>
        </w:rPr>
        <w:t xml:space="preserve">egy </w:t>
      </w:r>
      <w:r w:rsidRPr="006C73F9">
        <w:rPr>
          <w:rFonts w:cstheme="minorHAnsi"/>
          <w:sz w:val="24"/>
          <w:szCs w:val="24"/>
        </w:rPr>
        <w:t>2012</w:t>
      </w:r>
      <w:r w:rsidR="00810FDF" w:rsidRPr="006C73F9">
        <w:rPr>
          <w:rFonts w:cstheme="minorHAnsi"/>
          <w:sz w:val="24"/>
          <w:szCs w:val="24"/>
        </w:rPr>
        <w:t>. This</w:t>
      </w:r>
      <w:r w:rsidR="00364CD4" w:rsidRPr="006C73F9">
        <w:rPr>
          <w:rFonts w:cstheme="minorHAnsi"/>
          <w:sz w:val="24"/>
          <w:szCs w:val="24"/>
        </w:rPr>
        <w:t xml:space="preserve"> includes</w:t>
      </w:r>
      <w:r w:rsidRPr="006C73F9">
        <w:rPr>
          <w:rFonts w:cstheme="minorHAnsi"/>
          <w:sz w:val="24"/>
          <w:szCs w:val="24"/>
        </w:rPr>
        <w:t xml:space="preserve"> </w:t>
      </w:r>
      <w:r w:rsidR="00810FDF" w:rsidRPr="006C73F9">
        <w:rPr>
          <w:rFonts w:cstheme="minorHAnsi"/>
          <w:sz w:val="24"/>
          <w:szCs w:val="24"/>
        </w:rPr>
        <w:t xml:space="preserve">several quite specific </w:t>
      </w:r>
      <w:r w:rsidRPr="006C73F9">
        <w:rPr>
          <w:rFonts w:cstheme="minorHAnsi"/>
          <w:sz w:val="24"/>
          <w:szCs w:val="24"/>
        </w:rPr>
        <w:t xml:space="preserve">family-relevant statements, which is encouraging, </w:t>
      </w:r>
      <w:r w:rsidR="00810FDF" w:rsidRPr="006C73F9">
        <w:rPr>
          <w:rFonts w:cstheme="minorHAnsi"/>
          <w:sz w:val="24"/>
          <w:szCs w:val="24"/>
        </w:rPr>
        <w:t xml:space="preserve">but </w:t>
      </w:r>
      <w:r w:rsidR="00364CD4" w:rsidRPr="006C73F9">
        <w:rPr>
          <w:rFonts w:cstheme="minorHAnsi"/>
          <w:sz w:val="24"/>
          <w:szCs w:val="24"/>
        </w:rPr>
        <w:t>w</w:t>
      </w:r>
      <w:r w:rsidRPr="006C73F9">
        <w:rPr>
          <w:rFonts w:cstheme="minorHAnsi"/>
          <w:sz w:val="24"/>
          <w:szCs w:val="24"/>
        </w:rPr>
        <w:t>here families and family members are mentioned it is mostly in the context of already identified high priority policy areas such as domestic violence, ‘troubled families’,</w:t>
      </w:r>
      <w:r w:rsidRPr="006C73F9">
        <w:rPr>
          <w:rFonts w:eastAsia="Times New Roman" w:cstheme="minorHAnsi"/>
          <w:sz w:val="24"/>
          <w:szCs w:val="24"/>
          <w:lang w:eastAsia="en-GB"/>
        </w:rPr>
        <w:t xml:space="preserve"> heavy drinking and hospital accident and emergency</w:t>
      </w:r>
      <w:r w:rsidRPr="006C73F9">
        <w:rPr>
          <w:rFonts w:cstheme="minorHAnsi"/>
          <w:b/>
          <w:sz w:val="24"/>
          <w:szCs w:val="24"/>
        </w:rPr>
        <w:t xml:space="preserve"> </w:t>
      </w:r>
      <w:r w:rsidRPr="006C73F9">
        <w:rPr>
          <w:rFonts w:cstheme="minorHAnsi"/>
          <w:sz w:val="24"/>
          <w:szCs w:val="24"/>
        </w:rPr>
        <w:t xml:space="preserve">admissions, or </w:t>
      </w:r>
      <w:r w:rsidR="00810FDF" w:rsidRPr="006C73F9">
        <w:rPr>
          <w:rFonts w:cstheme="minorHAnsi"/>
          <w:sz w:val="24"/>
          <w:szCs w:val="24"/>
        </w:rPr>
        <w:t>foetal</w:t>
      </w:r>
      <w:r w:rsidRPr="006C73F9">
        <w:rPr>
          <w:rFonts w:cstheme="minorHAnsi"/>
          <w:sz w:val="24"/>
          <w:szCs w:val="24"/>
        </w:rPr>
        <w:t xml:space="preserve"> alcohol syndrome. </w:t>
      </w:r>
      <w:r w:rsidR="00364CD4" w:rsidRPr="006C73F9">
        <w:rPr>
          <w:rFonts w:eastAsia="Times New Roman" w:cstheme="minorHAnsi"/>
          <w:sz w:val="24"/>
          <w:szCs w:val="24"/>
          <w:lang w:eastAsia="en-GB"/>
        </w:rPr>
        <w:t>P</w:t>
      </w:r>
      <w:r w:rsidRPr="006C73F9">
        <w:rPr>
          <w:rFonts w:cstheme="minorHAnsi"/>
          <w:sz w:val="24"/>
          <w:szCs w:val="24"/>
        </w:rPr>
        <w:t>erhaps reflecting the Home Office lead on this document and the publicity given to binge or heavy drinking at the time, it is mostly ‘heavy drinking’ that is referred to throughout the document rather than alcohol addiction or dependence</w:t>
      </w:r>
      <w:r w:rsidR="00364CD4" w:rsidRPr="006C73F9">
        <w:rPr>
          <w:rFonts w:cstheme="minorHAnsi"/>
          <w:sz w:val="24"/>
          <w:szCs w:val="24"/>
        </w:rPr>
        <w:t>.</w:t>
      </w:r>
      <w:r w:rsidR="00810FDF" w:rsidRPr="006C73F9">
        <w:rPr>
          <w:rFonts w:eastAsia="Times New Roman" w:cstheme="minorHAnsi"/>
          <w:sz w:val="24"/>
          <w:szCs w:val="24"/>
          <w:lang w:eastAsia="en-GB"/>
        </w:rPr>
        <w:t xml:space="preserve"> </w:t>
      </w:r>
      <w:r w:rsidR="00E61A1A" w:rsidRPr="006C73F9">
        <w:rPr>
          <w:rFonts w:cstheme="minorHAnsi"/>
          <w:sz w:val="24"/>
          <w:szCs w:val="24"/>
        </w:rPr>
        <w:t>There is lack of a general awareness of ‘affected family members’ as a group of stakeholders or of alcohol’s harm to others in general.</w:t>
      </w:r>
    </w:p>
    <w:p w14:paraId="44E98BF8" w14:textId="4EAB7718" w:rsidR="00E61A1A" w:rsidRPr="006C73F9" w:rsidRDefault="00E61A1A" w:rsidP="006C73F9">
      <w:pPr>
        <w:spacing w:after="0" w:line="240" w:lineRule="auto"/>
        <w:jc w:val="both"/>
        <w:rPr>
          <w:rFonts w:eastAsia="Times New Roman" w:cstheme="minorHAnsi"/>
          <w:sz w:val="24"/>
          <w:szCs w:val="24"/>
          <w:lang w:eastAsia="en-GB"/>
        </w:rPr>
      </w:pPr>
    </w:p>
    <w:p w14:paraId="2DB97BDD" w14:textId="3B335FD6" w:rsidR="00182719" w:rsidRPr="006C73F9" w:rsidRDefault="00DD7513" w:rsidP="006C73F9">
      <w:pPr>
        <w:pStyle w:val="Default"/>
        <w:jc w:val="both"/>
        <w:rPr>
          <w:rFonts w:asciiTheme="minorHAnsi" w:hAnsiTheme="minorHAnsi" w:cstheme="minorHAnsi"/>
          <w:color w:val="auto"/>
        </w:rPr>
      </w:pPr>
      <w:proofErr w:type="spellStart"/>
      <w:r w:rsidRPr="006C73F9">
        <w:rPr>
          <w:rFonts w:asciiTheme="minorHAnsi" w:hAnsiTheme="minorHAnsi" w:cstheme="minorHAnsi"/>
          <w:color w:val="auto"/>
        </w:rPr>
        <w:t>e.g</w:t>
      </w:r>
      <w:proofErr w:type="spellEnd"/>
      <w:r w:rsidRPr="006C73F9">
        <w:rPr>
          <w:rFonts w:asciiTheme="minorHAnsi" w:hAnsiTheme="minorHAnsi" w:cstheme="minorHAnsi"/>
          <w:color w:val="auto"/>
        </w:rPr>
        <w:t xml:space="preserve">. </w:t>
      </w:r>
      <w:r w:rsidR="00810FDF" w:rsidRPr="006C73F9">
        <w:rPr>
          <w:rFonts w:asciiTheme="minorHAnsi" w:hAnsiTheme="minorHAnsi" w:cstheme="minorHAnsi"/>
          <w:color w:val="auto"/>
        </w:rPr>
        <w:t xml:space="preserve">In </w:t>
      </w:r>
      <w:proofErr w:type="spellStart"/>
      <w:r w:rsidR="00810FDF" w:rsidRPr="006C73F9">
        <w:rPr>
          <w:rFonts w:asciiTheme="minorHAnsi" w:hAnsiTheme="minorHAnsi" w:cstheme="minorHAnsi"/>
          <w:color w:val="auto"/>
        </w:rPr>
        <w:t>the</w:t>
      </w:r>
      <w:proofErr w:type="spellEnd"/>
      <w:r w:rsidR="00810FDF" w:rsidRPr="006C73F9">
        <w:rPr>
          <w:rFonts w:asciiTheme="minorHAnsi" w:hAnsiTheme="minorHAnsi" w:cstheme="minorHAnsi"/>
          <w:color w:val="auto"/>
        </w:rPr>
        <w:t xml:space="preserve"> 10 </w:t>
      </w:r>
      <w:proofErr w:type="spellStart"/>
      <w:r w:rsidR="00CA4FFF" w:rsidRPr="006C73F9">
        <w:rPr>
          <w:rFonts w:asciiTheme="minorHAnsi" w:hAnsiTheme="minorHAnsi" w:cstheme="minorHAnsi"/>
          <w:color w:val="auto"/>
        </w:rPr>
        <w:t>Mexican</w:t>
      </w:r>
      <w:proofErr w:type="spellEnd"/>
      <w:r w:rsidR="00CA4FF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national</w:t>
      </w:r>
      <w:proofErr w:type="spellEnd"/>
      <w:r w:rsidR="00182719" w:rsidRPr="006C73F9">
        <w:rPr>
          <w:rFonts w:asciiTheme="minorHAnsi" w:hAnsiTheme="minorHAnsi" w:cstheme="minorHAnsi"/>
          <w:color w:val="auto"/>
        </w:rPr>
        <w:t xml:space="preserve"> </w:t>
      </w:r>
      <w:proofErr w:type="spellStart"/>
      <w:r w:rsidR="00182719" w:rsidRPr="006C73F9">
        <w:rPr>
          <w:rFonts w:asciiTheme="minorHAnsi" w:hAnsiTheme="minorHAnsi" w:cstheme="minorHAnsi"/>
          <w:color w:val="auto"/>
        </w:rPr>
        <w:t>documents</w:t>
      </w:r>
      <w:proofErr w:type="spellEnd"/>
      <w:r w:rsidR="00182719"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examined</w:t>
      </w:r>
      <w:proofErr w:type="spellEnd"/>
      <w:r w:rsidR="00810FDF" w:rsidRPr="006C73F9">
        <w:rPr>
          <w:rFonts w:asciiTheme="minorHAnsi" w:hAnsiTheme="minorHAnsi" w:cstheme="minorHAnsi"/>
          <w:color w:val="auto"/>
        </w:rPr>
        <w:t>,</w:t>
      </w:r>
      <w:r w:rsidR="00182719" w:rsidRPr="006C73F9">
        <w:rPr>
          <w:rFonts w:asciiTheme="minorHAnsi" w:hAnsiTheme="minorHAnsi" w:cstheme="minorHAnsi"/>
          <w:color w:val="auto"/>
        </w:rPr>
        <w:t xml:space="preserve"> </w:t>
      </w:r>
      <w:proofErr w:type="spellStart"/>
      <w:r w:rsidR="00182719" w:rsidRPr="006C73F9">
        <w:rPr>
          <w:rFonts w:asciiTheme="minorHAnsi" w:hAnsiTheme="minorHAnsi" w:cstheme="minorHAnsi"/>
          <w:color w:val="auto"/>
        </w:rPr>
        <w:t>famil</w:t>
      </w:r>
      <w:r w:rsidR="00810FDF" w:rsidRPr="006C73F9">
        <w:rPr>
          <w:rFonts w:asciiTheme="minorHAnsi" w:hAnsiTheme="minorHAnsi" w:cstheme="minorHAnsi"/>
          <w:color w:val="auto"/>
        </w:rPr>
        <w:t>y</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was</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mentioned</w:t>
      </w:r>
      <w:proofErr w:type="spellEnd"/>
      <w:r w:rsidR="00182719" w:rsidRPr="006C73F9">
        <w:rPr>
          <w:rFonts w:asciiTheme="minorHAnsi" w:hAnsiTheme="minorHAnsi" w:cstheme="minorHAnsi"/>
          <w:color w:val="auto"/>
        </w:rPr>
        <w:t xml:space="preserve"> 57 </w:t>
      </w:r>
      <w:r w:rsidR="00810FDF" w:rsidRPr="006C73F9">
        <w:rPr>
          <w:rFonts w:asciiTheme="minorHAnsi" w:hAnsiTheme="minorHAnsi" w:cstheme="minorHAnsi"/>
          <w:color w:val="auto"/>
        </w:rPr>
        <w:t>times</w:t>
      </w:r>
      <w:r w:rsidR="00182719" w:rsidRPr="006C73F9">
        <w:rPr>
          <w:rFonts w:asciiTheme="minorHAnsi" w:hAnsiTheme="minorHAnsi" w:cstheme="minorHAnsi"/>
          <w:color w:val="auto"/>
        </w:rPr>
        <w:t xml:space="preserve">; 24 </w:t>
      </w:r>
      <w:r w:rsidR="00810FDF" w:rsidRPr="006C73F9">
        <w:rPr>
          <w:rFonts w:asciiTheme="minorHAnsi" w:hAnsiTheme="minorHAnsi" w:cstheme="minorHAnsi"/>
          <w:color w:val="auto"/>
        </w:rPr>
        <w:t>times as a</w:t>
      </w:r>
      <w:r w:rsidR="00182719" w:rsidRPr="006C73F9">
        <w:rPr>
          <w:rFonts w:asciiTheme="minorHAnsi" w:hAnsiTheme="minorHAnsi" w:cstheme="minorHAnsi"/>
          <w:color w:val="auto"/>
        </w:rPr>
        <w:t xml:space="preserve"> </w:t>
      </w:r>
      <w:proofErr w:type="spellStart"/>
      <w:r w:rsidR="00182719" w:rsidRPr="006C73F9">
        <w:rPr>
          <w:rFonts w:asciiTheme="minorHAnsi" w:hAnsiTheme="minorHAnsi" w:cstheme="minorHAnsi"/>
          <w:color w:val="auto"/>
        </w:rPr>
        <w:t>me</w:t>
      </w:r>
      <w:r w:rsidR="00810FDF" w:rsidRPr="006C73F9">
        <w:rPr>
          <w:rFonts w:asciiTheme="minorHAnsi" w:hAnsiTheme="minorHAnsi" w:cstheme="minorHAnsi"/>
          <w:color w:val="auto"/>
        </w:rPr>
        <w:t>ans</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of</w:t>
      </w:r>
      <w:proofErr w:type="spellEnd"/>
      <w:r w:rsidR="00182719" w:rsidRPr="006C73F9">
        <w:rPr>
          <w:rFonts w:asciiTheme="minorHAnsi" w:hAnsiTheme="minorHAnsi" w:cstheme="minorHAnsi"/>
          <w:color w:val="auto"/>
        </w:rPr>
        <w:t xml:space="preserve"> </w:t>
      </w:r>
      <w:proofErr w:type="spellStart"/>
      <w:r w:rsidR="00182719" w:rsidRPr="006C73F9">
        <w:rPr>
          <w:rFonts w:asciiTheme="minorHAnsi" w:hAnsiTheme="minorHAnsi" w:cstheme="minorHAnsi"/>
          <w:color w:val="auto"/>
        </w:rPr>
        <w:t>preven</w:t>
      </w:r>
      <w:r w:rsidR="00810FDF" w:rsidRPr="006C73F9">
        <w:rPr>
          <w:rFonts w:asciiTheme="minorHAnsi" w:hAnsiTheme="minorHAnsi" w:cstheme="minorHAnsi"/>
          <w:color w:val="auto"/>
        </w:rPr>
        <w:t>t</w:t>
      </w:r>
      <w:r w:rsidR="00182719" w:rsidRPr="006C73F9">
        <w:rPr>
          <w:rFonts w:asciiTheme="minorHAnsi" w:hAnsiTheme="minorHAnsi" w:cstheme="minorHAnsi"/>
          <w:color w:val="auto"/>
        </w:rPr>
        <w:t>i</w:t>
      </w:r>
      <w:r w:rsidR="00810FDF" w:rsidRPr="006C73F9">
        <w:rPr>
          <w:rFonts w:asciiTheme="minorHAnsi" w:hAnsiTheme="minorHAnsi" w:cstheme="minorHAnsi"/>
          <w:color w:val="auto"/>
        </w:rPr>
        <w:t>o</w:t>
      </w:r>
      <w:r w:rsidR="00182719" w:rsidRPr="006C73F9">
        <w:rPr>
          <w:rFonts w:asciiTheme="minorHAnsi" w:hAnsiTheme="minorHAnsi" w:cstheme="minorHAnsi"/>
          <w:color w:val="auto"/>
        </w:rPr>
        <w:t>n</w:t>
      </w:r>
      <w:proofErr w:type="spellEnd"/>
      <w:r w:rsidR="00182719" w:rsidRPr="006C73F9">
        <w:rPr>
          <w:rFonts w:asciiTheme="minorHAnsi" w:hAnsiTheme="minorHAnsi" w:cstheme="minorHAnsi"/>
          <w:color w:val="auto"/>
        </w:rPr>
        <w:t xml:space="preserve">, 12 </w:t>
      </w:r>
      <w:r w:rsidR="00810FDF" w:rsidRPr="006C73F9">
        <w:rPr>
          <w:rFonts w:asciiTheme="minorHAnsi" w:hAnsiTheme="minorHAnsi" w:cstheme="minorHAnsi"/>
          <w:color w:val="auto"/>
        </w:rPr>
        <w:t xml:space="preserve">times as a </w:t>
      </w:r>
      <w:proofErr w:type="spellStart"/>
      <w:r w:rsidR="00810FDF" w:rsidRPr="006C73F9">
        <w:rPr>
          <w:rFonts w:asciiTheme="minorHAnsi" w:hAnsiTheme="minorHAnsi" w:cstheme="minorHAnsi"/>
          <w:color w:val="auto"/>
        </w:rPr>
        <w:t>means</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of</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accessing</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treatment</w:t>
      </w:r>
      <w:proofErr w:type="spellEnd"/>
      <w:r w:rsidR="00182719" w:rsidRPr="006C73F9">
        <w:rPr>
          <w:rFonts w:asciiTheme="minorHAnsi" w:hAnsiTheme="minorHAnsi" w:cstheme="minorHAnsi"/>
          <w:color w:val="auto"/>
        </w:rPr>
        <w:t xml:space="preserve">, 7 </w:t>
      </w:r>
      <w:r w:rsidR="00810FDF" w:rsidRPr="006C73F9">
        <w:rPr>
          <w:rFonts w:asciiTheme="minorHAnsi" w:hAnsiTheme="minorHAnsi" w:cstheme="minorHAnsi"/>
          <w:color w:val="auto"/>
        </w:rPr>
        <w:t xml:space="preserve">times as </w:t>
      </w:r>
      <w:proofErr w:type="spellStart"/>
      <w:r w:rsidR="00810FDF" w:rsidRPr="006C73F9">
        <w:rPr>
          <w:rFonts w:asciiTheme="minorHAnsi" w:hAnsiTheme="minorHAnsi" w:cstheme="minorHAnsi"/>
          <w:color w:val="auto"/>
        </w:rPr>
        <w:t>support</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for</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adherence</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to</w:t>
      </w:r>
      <w:proofErr w:type="spellEnd"/>
      <w:r w:rsidR="001A695B"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treatment</w:t>
      </w:r>
      <w:proofErr w:type="spellEnd"/>
      <w:r w:rsidR="00810FDF" w:rsidRPr="006C73F9">
        <w:rPr>
          <w:rFonts w:asciiTheme="minorHAnsi" w:hAnsiTheme="minorHAnsi" w:cstheme="minorHAnsi"/>
          <w:color w:val="auto"/>
        </w:rPr>
        <w:t xml:space="preserve"> and</w:t>
      </w:r>
      <w:r w:rsidR="00182719" w:rsidRPr="006C73F9">
        <w:rPr>
          <w:rFonts w:asciiTheme="minorHAnsi" w:hAnsiTheme="minorHAnsi" w:cstheme="minorHAnsi"/>
          <w:color w:val="auto"/>
        </w:rPr>
        <w:t xml:space="preserve"> </w:t>
      </w:r>
      <w:proofErr w:type="spellStart"/>
      <w:r w:rsidR="00135351" w:rsidRPr="006C73F9">
        <w:rPr>
          <w:rFonts w:asciiTheme="minorHAnsi" w:hAnsiTheme="minorHAnsi" w:cstheme="minorHAnsi"/>
          <w:color w:val="auto"/>
        </w:rPr>
        <w:t>only</w:t>
      </w:r>
      <w:proofErr w:type="spellEnd"/>
      <w:r w:rsidR="00135351" w:rsidRPr="006C73F9">
        <w:rPr>
          <w:rFonts w:asciiTheme="minorHAnsi" w:hAnsiTheme="minorHAnsi" w:cstheme="minorHAnsi"/>
          <w:color w:val="auto"/>
        </w:rPr>
        <w:t xml:space="preserve"> </w:t>
      </w:r>
      <w:r w:rsidR="00182719" w:rsidRPr="006C73F9">
        <w:rPr>
          <w:rFonts w:asciiTheme="minorHAnsi" w:hAnsiTheme="minorHAnsi" w:cstheme="minorHAnsi"/>
          <w:color w:val="auto"/>
        </w:rPr>
        <w:t xml:space="preserve">7 </w:t>
      </w:r>
      <w:r w:rsidR="00810FDF" w:rsidRPr="006C73F9">
        <w:rPr>
          <w:rFonts w:asciiTheme="minorHAnsi" w:hAnsiTheme="minorHAnsi" w:cstheme="minorHAnsi"/>
          <w:color w:val="auto"/>
        </w:rPr>
        <w:t xml:space="preserve">times as a </w:t>
      </w:r>
      <w:proofErr w:type="spellStart"/>
      <w:r w:rsidR="00810FDF" w:rsidRPr="006C73F9">
        <w:rPr>
          <w:rFonts w:asciiTheme="minorHAnsi" w:hAnsiTheme="minorHAnsi" w:cstheme="minorHAnsi"/>
          <w:color w:val="auto"/>
        </w:rPr>
        <w:t>system</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that</w:t>
      </w:r>
      <w:proofErr w:type="spellEnd"/>
      <w:r w:rsidR="00810FDF" w:rsidRPr="006C73F9">
        <w:rPr>
          <w:rFonts w:asciiTheme="minorHAnsi" w:hAnsiTheme="minorHAnsi" w:cstheme="minorHAnsi"/>
          <w:color w:val="auto"/>
        </w:rPr>
        <w:t xml:space="preserve"> has </w:t>
      </w:r>
      <w:proofErr w:type="spellStart"/>
      <w:r w:rsidR="00810FDF" w:rsidRPr="006C73F9">
        <w:rPr>
          <w:rFonts w:asciiTheme="minorHAnsi" w:hAnsiTheme="minorHAnsi" w:cstheme="minorHAnsi"/>
          <w:color w:val="auto"/>
        </w:rPr>
        <w:t>its</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own</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needs</w:t>
      </w:r>
      <w:proofErr w:type="spellEnd"/>
      <w:r w:rsidR="00810FDF" w:rsidRPr="006C73F9">
        <w:rPr>
          <w:rFonts w:asciiTheme="minorHAnsi" w:hAnsiTheme="minorHAnsi" w:cstheme="minorHAnsi"/>
          <w:color w:val="auto"/>
        </w:rPr>
        <w:t xml:space="preserve"> in </w:t>
      </w:r>
      <w:proofErr w:type="spellStart"/>
      <w:r w:rsidR="00810FDF" w:rsidRPr="006C73F9">
        <w:rPr>
          <w:rFonts w:asciiTheme="minorHAnsi" w:hAnsiTheme="minorHAnsi" w:cstheme="minorHAnsi"/>
          <w:color w:val="auto"/>
        </w:rPr>
        <w:t>the</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face</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of</w:t>
      </w:r>
      <w:proofErr w:type="spellEnd"/>
      <w:r w:rsidR="00182719" w:rsidRPr="006C73F9">
        <w:rPr>
          <w:rFonts w:asciiTheme="minorHAnsi" w:hAnsiTheme="minorHAnsi" w:cstheme="minorHAnsi"/>
          <w:color w:val="auto"/>
        </w:rPr>
        <w:t xml:space="preserve"> </w:t>
      </w:r>
      <w:proofErr w:type="spellStart"/>
      <w:r w:rsidR="00182719" w:rsidRPr="006C73F9">
        <w:rPr>
          <w:rFonts w:asciiTheme="minorHAnsi" w:hAnsiTheme="minorHAnsi" w:cstheme="minorHAnsi"/>
          <w:color w:val="auto"/>
        </w:rPr>
        <w:t>problem</w:t>
      </w:r>
      <w:r w:rsidR="00810FDF" w:rsidRPr="006C73F9">
        <w:rPr>
          <w:rFonts w:asciiTheme="minorHAnsi" w:hAnsiTheme="minorHAnsi" w:cstheme="minorHAnsi"/>
          <w:color w:val="auto"/>
        </w:rPr>
        <w:t>s</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related</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to</w:t>
      </w:r>
      <w:proofErr w:type="spellEnd"/>
      <w:r w:rsidR="00810FDF" w:rsidRPr="006C73F9">
        <w:rPr>
          <w:rFonts w:asciiTheme="minorHAnsi" w:hAnsiTheme="minorHAnsi" w:cstheme="minorHAnsi"/>
          <w:color w:val="auto"/>
        </w:rPr>
        <w:t xml:space="preserve"> </w:t>
      </w:r>
      <w:proofErr w:type="spellStart"/>
      <w:r w:rsidR="00182719" w:rsidRPr="006C73F9">
        <w:rPr>
          <w:rFonts w:asciiTheme="minorHAnsi" w:hAnsiTheme="minorHAnsi" w:cstheme="minorHAnsi"/>
          <w:color w:val="auto"/>
        </w:rPr>
        <w:t>consum</w:t>
      </w:r>
      <w:r w:rsidR="00810FDF" w:rsidRPr="006C73F9">
        <w:rPr>
          <w:rFonts w:asciiTheme="minorHAnsi" w:hAnsiTheme="minorHAnsi" w:cstheme="minorHAnsi"/>
          <w:color w:val="auto"/>
        </w:rPr>
        <w:t>ption</w:t>
      </w:r>
      <w:proofErr w:type="spellEnd"/>
      <w:r w:rsidR="00182719" w:rsidRPr="006C73F9">
        <w:rPr>
          <w:rFonts w:asciiTheme="minorHAnsi" w:hAnsiTheme="minorHAnsi" w:cstheme="minorHAnsi"/>
          <w:color w:val="auto"/>
        </w:rPr>
        <w:t>.</w:t>
      </w:r>
      <w:r w:rsidR="00CA4FF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State</w:t>
      </w:r>
      <w:proofErr w:type="spellEnd"/>
      <w:r w:rsidR="00182719" w:rsidRPr="006C73F9">
        <w:rPr>
          <w:rFonts w:asciiTheme="minorHAnsi" w:hAnsiTheme="minorHAnsi" w:cstheme="minorHAnsi"/>
          <w:color w:val="auto"/>
        </w:rPr>
        <w:t xml:space="preserve"> </w:t>
      </w:r>
      <w:proofErr w:type="spellStart"/>
      <w:r w:rsidR="00182719" w:rsidRPr="006C73F9">
        <w:rPr>
          <w:rFonts w:asciiTheme="minorHAnsi" w:hAnsiTheme="minorHAnsi" w:cstheme="minorHAnsi"/>
          <w:color w:val="auto"/>
        </w:rPr>
        <w:t>documents</w:t>
      </w:r>
      <w:proofErr w:type="spellEnd"/>
      <w:r w:rsidR="00182719"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were</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found</w:t>
      </w:r>
      <w:proofErr w:type="spellEnd"/>
      <w:r w:rsidR="00810FDF" w:rsidRPr="006C73F9">
        <w:rPr>
          <w:rFonts w:asciiTheme="minorHAnsi" w:hAnsiTheme="minorHAnsi" w:cstheme="minorHAnsi"/>
          <w:color w:val="auto"/>
        </w:rPr>
        <w:t xml:space="preserve"> </w:t>
      </w:r>
      <w:proofErr w:type="spellStart"/>
      <w:r w:rsidR="00810FDF" w:rsidRPr="006C73F9">
        <w:rPr>
          <w:rFonts w:asciiTheme="minorHAnsi" w:hAnsiTheme="minorHAnsi" w:cstheme="minorHAnsi"/>
          <w:color w:val="auto"/>
        </w:rPr>
        <w:t>to</w:t>
      </w:r>
      <w:proofErr w:type="spellEnd"/>
      <w:r w:rsidR="00810FDF" w:rsidRPr="006C73F9">
        <w:rPr>
          <w:rFonts w:asciiTheme="minorHAnsi" w:hAnsiTheme="minorHAnsi" w:cstheme="minorHAnsi"/>
          <w:color w:val="auto"/>
        </w:rPr>
        <w:t xml:space="preserve"> be similar</w:t>
      </w:r>
      <w:r w:rsidR="00182719" w:rsidRPr="006C73F9">
        <w:rPr>
          <w:rFonts w:asciiTheme="minorHAnsi" w:hAnsiTheme="minorHAnsi" w:cstheme="minorHAnsi"/>
          <w:color w:val="auto"/>
        </w:rPr>
        <w:t>.</w:t>
      </w:r>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R</w:t>
      </w:r>
      <w:r w:rsidR="00182719" w:rsidRPr="006C73F9">
        <w:rPr>
          <w:rFonts w:asciiTheme="minorHAnsi" w:hAnsiTheme="minorHAnsi" w:cstheme="minorHAnsi"/>
          <w:color w:val="auto"/>
        </w:rPr>
        <w:t>ef</w:t>
      </w:r>
      <w:r w:rsidR="00135351" w:rsidRPr="006C73F9">
        <w:rPr>
          <w:rFonts w:asciiTheme="minorHAnsi" w:hAnsiTheme="minorHAnsi" w:cstheme="minorHAnsi"/>
          <w:color w:val="auto"/>
        </w:rPr>
        <w:t>e</w:t>
      </w:r>
      <w:r w:rsidR="00182719" w:rsidRPr="006C73F9">
        <w:rPr>
          <w:rFonts w:asciiTheme="minorHAnsi" w:hAnsiTheme="minorHAnsi" w:cstheme="minorHAnsi"/>
          <w:color w:val="auto"/>
        </w:rPr>
        <w:t>renc</w:t>
      </w:r>
      <w:r w:rsidR="00135351" w:rsidRPr="006C73F9">
        <w:rPr>
          <w:rFonts w:asciiTheme="minorHAnsi" w:hAnsiTheme="minorHAnsi" w:cstheme="minorHAnsi"/>
          <w:color w:val="auto"/>
        </w:rPr>
        <w:t>e</w:t>
      </w:r>
      <w:r w:rsidR="00182719" w:rsidRPr="006C73F9">
        <w:rPr>
          <w:rFonts w:asciiTheme="minorHAnsi" w:hAnsiTheme="minorHAnsi" w:cstheme="minorHAnsi"/>
          <w:color w:val="auto"/>
        </w:rPr>
        <w:t>s</w:t>
      </w:r>
      <w:proofErr w:type="spellEnd"/>
      <w:r w:rsidR="00182719"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to</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the</w:t>
      </w:r>
      <w:proofErr w:type="spellEnd"/>
      <w:r w:rsidR="00182719" w:rsidRPr="006C73F9">
        <w:rPr>
          <w:rFonts w:asciiTheme="minorHAnsi" w:hAnsiTheme="minorHAnsi" w:cstheme="minorHAnsi"/>
          <w:color w:val="auto"/>
        </w:rPr>
        <w:t xml:space="preserve"> </w:t>
      </w:r>
      <w:proofErr w:type="spellStart"/>
      <w:r w:rsidR="00182719" w:rsidRPr="006C73F9">
        <w:rPr>
          <w:rFonts w:asciiTheme="minorHAnsi" w:hAnsiTheme="minorHAnsi" w:cstheme="minorHAnsi"/>
          <w:color w:val="auto"/>
        </w:rPr>
        <w:t>famil</w:t>
      </w:r>
      <w:r w:rsidR="00CA4FFF" w:rsidRPr="006C73F9">
        <w:rPr>
          <w:rFonts w:asciiTheme="minorHAnsi" w:hAnsiTheme="minorHAnsi" w:cstheme="minorHAnsi"/>
          <w:color w:val="auto"/>
        </w:rPr>
        <w:t>y</w:t>
      </w:r>
      <w:proofErr w:type="spellEnd"/>
      <w:r w:rsidR="00182719" w:rsidRPr="006C73F9">
        <w:rPr>
          <w:rFonts w:asciiTheme="minorHAnsi" w:hAnsiTheme="minorHAnsi" w:cstheme="minorHAnsi"/>
          <w:color w:val="auto"/>
        </w:rPr>
        <w:t xml:space="preserve"> </w:t>
      </w:r>
      <w:r w:rsidR="00CA4FFF" w:rsidRPr="006C73F9">
        <w:rPr>
          <w:rFonts w:asciiTheme="minorHAnsi" w:hAnsiTheme="minorHAnsi" w:cstheme="minorHAnsi"/>
          <w:color w:val="auto"/>
        </w:rPr>
        <w:t xml:space="preserve">are </w:t>
      </w:r>
      <w:proofErr w:type="spellStart"/>
      <w:r w:rsidR="00182719" w:rsidRPr="006C73F9">
        <w:rPr>
          <w:rFonts w:asciiTheme="minorHAnsi" w:hAnsiTheme="minorHAnsi" w:cstheme="minorHAnsi"/>
          <w:color w:val="auto"/>
        </w:rPr>
        <w:t>spec</w:t>
      </w:r>
      <w:r w:rsidR="00CA4FFF" w:rsidRPr="006C73F9">
        <w:rPr>
          <w:rFonts w:asciiTheme="minorHAnsi" w:hAnsiTheme="minorHAnsi" w:cstheme="minorHAnsi"/>
          <w:color w:val="auto"/>
        </w:rPr>
        <w:t>i</w:t>
      </w:r>
      <w:r w:rsidR="00182719" w:rsidRPr="006C73F9">
        <w:rPr>
          <w:rFonts w:asciiTheme="minorHAnsi" w:hAnsiTheme="minorHAnsi" w:cstheme="minorHAnsi"/>
          <w:color w:val="auto"/>
        </w:rPr>
        <w:t>fic</w:t>
      </w:r>
      <w:proofErr w:type="spellEnd"/>
      <w:r w:rsidR="00CA4FFF" w:rsidRPr="006C73F9">
        <w:rPr>
          <w:rFonts w:asciiTheme="minorHAnsi" w:hAnsiTheme="minorHAnsi" w:cstheme="minorHAnsi"/>
          <w:color w:val="auto"/>
        </w:rPr>
        <w:t xml:space="preserve"> i</w:t>
      </w:r>
      <w:r w:rsidR="00182719" w:rsidRPr="006C73F9">
        <w:rPr>
          <w:rFonts w:asciiTheme="minorHAnsi" w:hAnsiTheme="minorHAnsi" w:cstheme="minorHAnsi"/>
          <w:color w:val="auto"/>
        </w:rPr>
        <w:t xml:space="preserve">n </w:t>
      </w:r>
      <w:proofErr w:type="spellStart"/>
      <w:r w:rsidR="00CA4FFF" w:rsidRPr="006C73F9">
        <w:rPr>
          <w:rFonts w:asciiTheme="minorHAnsi" w:hAnsiTheme="minorHAnsi" w:cstheme="minorHAnsi"/>
          <w:color w:val="auto"/>
        </w:rPr>
        <w:t>some</w:t>
      </w:r>
      <w:proofErr w:type="spellEnd"/>
      <w:r w:rsidR="00182719" w:rsidRPr="006C73F9">
        <w:rPr>
          <w:rFonts w:asciiTheme="minorHAnsi" w:hAnsiTheme="minorHAnsi" w:cstheme="minorHAnsi"/>
          <w:color w:val="auto"/>
        </w:rPr>
        <w:t xml:space="preserve"> cas</w:t>
      </w:r>
      <w:r w:rsidR="00CA4FFF" w:rsidRPr="006C73F9">
        <w:rPr>
          <w:rFonts w:asciiTheme="minorHAnsi" w:hAnsiTheme="minorHAnsi" w:cstheme="minorHAnsi"/>
          <w:color w:val="auto"/>
        </w:rPr>
        <w:t>e</w:t>
      </w:r>
      <w:r w:rsidR="00182719" w:rsidRPr="006C73F9">
        <w:rPr>
          <w:rFonts w:asciiTheme="minorHAnsi" w:hAnsiTheme="minorHAnsi" w:cstheme="minorHAnsi"/>
          <w:color w:val="auto"/>
        </w:rPr>
        <w:t xml:space="preserve">s </w:t>
      </w:r>
      <w:proofErr w:type="spellStart"/>
      <w:r w:rsidR="00CA4FFF" w:rsidRPr="006C73F9">
        <w:rPr>
          <w:rFonts w:asciiTheme="minorHAnsi" w:hAnsiTheme="minorHAnsi" w:cstheme="minorHAnsi"/>
          <w:color w:val="auto"/>
        </w:rPr>
        <w:t>about</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the</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family’s</w:t>
      </w:r>
      <w:proofErr w:type="spellEnd"/>
      <w:r w:rsidR="00CA4FFF" w:rsidRPr="006C73F9">
        <w:rPr>
          <w:rFonts w:asciiTheme="minorHAnsi" w:hAnsiTheme="minorHAnsi" w:cstheme="minorHAnsi"/>
          <w:color w:val="auto"/>
        </w:rPr>
        <w:t xml:space="preserve"> role in</w:t>
      </w:r>
      <w:r w:rsidR="00182719" w:rsidRPr="006C73F9">
        <w:rPr>
          <w:rFonts w:asciiTheme="minorHAnsi" w:hAnsiTheme="minorHAnsi" w:cstheme="minorHAnsi"/>
          <w:color w:val="auto"/>
        </w:rPr>
        <w:t xml:space="preserve"> </w:t>
      </w:r>
      <w:proofErr w:type="spellStart"/>
      <w:r w:rsidR="00182719" w:rsidRPr="006C73F9">
        <w:rPr>
          <w:rFonts w:asciiTheme="minorHAnsi" w:hAnsiTheme="minorHAnsi" w:cstheme="minorHAnsi"/>
          <w:color w:val="auto"/>
        </w:rPr>
        <w:t>preven</w:t>
      </w:r>
      <w:r w:rsidR="00CA4FFF" w:rsidRPr="006C73F9">
        <w:rPr>
          <w:rFonts w:asciiTheme="minorHAnsi" w:hAnsiTheme="minorHAnsi" w:cstheme="minorHAnsi"/>
          <w:color w:val="auto"/>
        </w:rPr>
        <w:t>tion</w:t>
      </w:r>
      <w:proofErr w:type="spellEnd"/>
      <w:r w:rsidR="00CA4FFF" w:rsidRPr="006C73F9">
        <w:rPr>
          <w:rFonts w:asciiTheme="minorHAnsi" w:hAnsiTheme="minorHAnsi" w:cstheme="minorHAnsi"/>
          <w:color w:val="auto"/>
        </w:rPr>
        <w:t xml:space="preserve"> and </w:t>
      </w:r>
      <w:proofErr w:type="spellStart"/>
      <w:r w:rsidR="00CA4FFF" w:rsidRPr="006C73F9">
        <w:rPr>
          <w:rFonts w:asciiTheme="minorHAnsi" w:hAnsiTheme="minorHAnsi" w:cstheme="minorHAnsi"/>
          <w:color w:val="auto"/>
        </w:rPr>
        <w:t>help</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for</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the</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person</w:t>
      </w:r>
      <w:proofErr w:type="spellEnd"/>
      <w:r w:rsidR="00CA4FFF" w:rsidRPr="006C73F9">
        <w:rPr>
          <w:rFonts w:asciiTheme="minorHAnsi" w:hAnsiTheme="minorHAnsi" w:cstheme="minorHAnsi"/>
          <w:color w:val="auto"/>
        </w:rPr>
        <w:t xml:space="preserve"> in </w:t>
      </w:r>
      <w:proofErr w:type="spellStart"/>
      <w:r w:rsidR="00CA4FFF" w:rsidRPr="006C73F9">
        <w:rPr>
          <w:rFonts w:asciiTheme="minorHAnsi" w:hAnsiTheme="minorHAnsi" w:cstheme="minorHAnsi"/>
          <w:color w:val="auto"/>
        </w:rPr>
        <w:t>the</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family</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consuming</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substances</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but</w:t>
      </w:r>
      <w:proofErr w:type="spellEnd"/>
      <w:r w:rsidR="00182719" w:rsidRPr="006C73F9">
        <w:rPr>
          <w:rFonts w:asciiTheme="minorHAnsi" w:hAnsiTheme="minorHAnsi" w:cstheme="minorHAnsi"/>
          <w:color w:val="auto"/>
        </w:rPr>
        <w:t xml:space="preserve"> </w:t>
      </w:r>
      <w:proofErr w:type="spellStart"/>
      <w:r w:rsidR="00182719" w:rsidRPr="006C73F9">
        <w:rPr>
          <w:rFonts w:asciiTheme="minorHAnsi" w:hAnsiTheme="minorHAnsi" w:cstheme="minorHAnsi"/>
          <w:color w:val="auto"/>
        </w:rPr>
        <w:t>no</w:t>
      </w:r>
      <w:r w:rsidR="00CA4FFF" w:rsidRPr="006C73F9">
        <w:rPr>
          <w:rFonts w:asciiTheme="minorHAnsi" w:hAnsiTheme="minorHAnsi" w:cstheme="minorHAnsi"/>
          <w:color w:val="auto"/>
        </w:rPr>
        <w:t>t</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when</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it</w:t>
      </w:r>
      <w:proofErr w:type="spellEnd"/>
      <w:r w:rsidR="00CA4FFF" w:rsidRPr="006C73F9">
        <w:rPr>
          <w:rFonts w:asciiTheme="minorHAnsi" w:hAnsiTheme="minorHAnsi" w:cstheme="minorHAnsi"/>
          <w:color w:val="auto"/>
        </w:rPr>
        <w:t xml:space="preserve"> comes </w:t>
      </w:r>
      <w:proofErr w:type="spellStart"/>
      <w:r w:rsidR="00CA4FFF" w:rsidRPr="006C73F9">
        <w:rPr>
          <w:rFonts w:asciiTheme="minorHAnsi" w:hAnsiTheme="minorHAnsi" w:cstheme="minorHAnsi"/>
          <w:color w:val="auto"/>
        </w:rPr>
        <w:t>to</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family</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members</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own</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needs</w:t>
      </w:r>
      <w:proofErr w:type="spellEnd"/>
      <w:r w:rsidR="00CA4FFF" w:rsidRPr="006C73F9">
        <w:rPr>
          <w:rFonts w:asciiTheme="minorHAnsi" w:hAnsiTheme="minorHAnsi" w:cstheme="minorHAnsi"/>
          <w:color w:val="auto"/>
        </w:rPr>
        <w:t xml:space="preserve"> as </w:t>
      </w:r>
      <w:proofErr w:type="spellStart"/>
      <w:r w:rsidR="00CA4FFF" w:rsidRPr="006C73F9">
        <w:rPr>
          <w:rFonts w:asciiTheme="minorHAnsi" w:hAnsiTheme="minorHAnsi" w:cstheme="minorHAnsi"/>
          <w:color w:val="auto"/>
        </w:rPr>
        <w:t>people</w:t>
      </w:r>
      <w:proofErr w:type="spellEnd"/>
      <w:r w:rsidR="00182719" w:rsidRPr="006C73F9">
        <w:rPr>
          <w:rFonts w:asciiTheme="minorHAnsi" w:hAnsiTheme="minorHAnsi" w:cstheme="minorHAnsi"/>
          <w:color w:val="auto"/>
        </w:rPr>
        <w:t xml:space="preserve"> </w:t>
      </w:r>
      <w:proofErr w:type="spellStart"/>
      <w:r w:rsidR="00182719" w:rsidRPr="006C73F9">
        <w:rPr>
          <w:rFonts w:asciiTheme="minorHAnsi" w:hAnsiTheme="minorHAnsi" w:cstheme="minorHAnsi"/>
          <w:color w:val="auto"/>
        </w:rPr>
        <w:t>af</w:t>
      </w:r>
      <w:r w:rsidR="00CA4FFF" w:rsidRPr="006C73F9">
        <w:rPr>
          <w:rFonts w:asciiTheme="minorHAnsi" w:hAnsiTheme="minorHAnsi" w:cstheme="minorHAnsi"/>
          <w:color w:val="auto"/>
        </w:rPr>
        <w:t>f</w:t>
      </w:r>
      <w:r w:rsidR="00182719" w:rsidRPr="006C73F9">
        <w:rPr>
          <w:rFonts w:asciiTheme="minorHAnsi" w:hAnsiTheme="minorHAnsi" w:cstheme="minorHAnsi"/>
          <w:color w:val="auto"/>
        </w:rPr>
        <w:t>ect</w:t>
      </w:r>
      <w:r w:rsidR="00CA4FFF" w:rsidRPr="006C73F9">
        <w:rPr>
          <w:rFonts w:asciiTheme="minorHAnsi" w:hAnsiTheme="minorHAnsi" w:cstheme="minorHAnsi"/>
          <w:color w:val="auto"/>
        </w:rPr>
        <w:t>e</w:t>
      </w:r>
      <w:r w:rsidR="00182719" w:rsidRPr="006C73F9">
        <w:rPr>
          <w:rFonts w:asciiTheme="minorHAnsi" w:hAnsiTheme="minorHAnsi" w:cstheme="minorHAnsi"/>
          <w:color w:val="auto"/>
        </w:rPr>
        <w:t>d</w:t>
      </w:r>
      <w:proofErr w:type="spellEnd"/>
      <w:r w:rsidR="00182719"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physically</w:t>
      </w:r>
      <w:proofErr w:type="spellEnd"/>
      <w:r w:rsidR="00CA4FFF" w:rsidRPr="006C73F9">
        <w:rPr>
          <w:rFonts w:asciiTheme="minorHAnsi" w:hAnsiTheme="minorHAnsi" w:cstheme="minorHAnsi"/>
          <w:color w:val="auto"/>
        </w:rPr>
        <w:t xml:space="preserve"> and</w:t>
      </w:r>
      <w:r w:rsidR="00182719" w:rsidRPr="006C73F9">
        <w:rPr>
          <w:rFonts w:asciiTheme="minorHAnsi" w:hAnsiTheme="minorHAnsi" w:cstheme="minorHAnsi"/>
          <w:color w:val="auto"/>
        </w:rPr>
        <w:t xml:space="preserve"> </w:t>
      </w:r>
      <w:proofErr w:type="spellStart"/>
      <w:r w:rsidR="00182719" w:rsidRPr="006C73F9">
        <w:rPr>
          <w:rFonts w:asciiTheme="minorHAnsi" w:hAnsiTheme="minorHAnsi" w:cstheme="minorHAnsi"/>
          <w:color w:val="auto"/>
        </w:rPr>
        <w:t>emo</w:t>
      </w:r>
      <w:r w:rsidR="00CA4FFF" w:rsidRPr="006C73F9">
        <w:rPr>
          <w:rFonts w:asciiTheme="minorHAnsi" w:hAnsiTheme="minorHAnsi" w:cstheme="minorHAnsi"/>
          <w:color w:val="auto"/>
        </w:rPr>
        <w:t>t</w:t>
      </w:r>
      <w:r w:rsidR="00182719" w:rsidRPr="006C73F9">
        <w:rPr>
          <w:rFonts w:asciiTheme="minorHAnsi" w:hAnsiTheme="minorHAnsi" w:cstheme="minorHAnsi"/>
          <w:color w:val="auto"/>
        </w:rPr>
        <w:t>ional</w:t>
      </w:r>
      <w:r w:rsidR="00CA4FFF" w:rsidRPr="006C73F9">
        <w:rPr>
          <w:rFonts w:asciiTheme="minorHAnsi" w:hAnsiTheme="minorHAnsi" w:cstheme="minorHAnsi"/>
          <w:color w:val="auto"/>
        </w:rPr>
        <w:t>ly</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by</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such</w:t>
      </w:r>
      <w:proofErr w:type="spellEnd"/>
      <w:r w:rsidR="00CA4FFF" w:rsidRPr="006C73F9">
        <w:rPr>
          <w:rFonts w:asciiTheme="minorHAnsi" w:hAnsiTheme="minorHAnsi" w:cstheme="minorHAnsi"/>
          <w:color w:val="auto"/>
        </w:rPr>
        <w:t xml:space="preserve"> </w:t>
      </w:r>
      <w:proofErr w:type="spellStart"/>
      <w:r w:rsidR="00CA4FFF" w:rsidRPr="006C73F9">
        <w:rPr>
          <w:rFonts w:asciiTheme="minorHAnsi" w:hAnsiTheme="minorHAnsi" w:cstheme="minorHAnsi"/>
          <w:color w:val="auto"/>
        </w:rPr>
        <w:t>consumption</w:t>
      </w:r>
      <w:proofErr w:type="spellEnd"/>
      <w:r w:rsidR="00182719" w:rsidRPr="006C73F9">
        <w:rPr>
          <w:rFonts w:asciiTheme="minorHAnsi" w:hAnsiTheme="minorHAnsi" w:cstheme="minorHAnsi"/>
          <w:color w:val="auto"/>
        </w:rPr>
        <w:t>.</w:t>
      </w:r>
    </w:p>
    <w:p w14:paraId="722A25E9" w14:textId="77777777" w:rsidR="00182719" w:rsidRPr="006C73F9" w:rsidRDefault="00182719" w:rsidP="006C73F9">
      <w:pPr>
        <w:spacing w:after="0" w:line="240" w:lineRule="auto"/>
        <w:jc w:val="both"/>
        <w:rPr>
          <w:rFonts w:eastAsia="Times New Roman" w:cstheme="minorHAnsi"/>
          <w:sz w:val="24"/>
          <w:szCs w:val="24"/>
          <w:lang w:eastAsia="en-GB"/>
        </w:rPr>
      </w:pPr>
    </w:p>
    <w:p w14:paraId="450DCDF4" w14:textId="7F230B39" w:rsidR="002670FF" w:rsidRPr="006C73F9" w:rsidRDefault="002670FF" w:rsidP="006C73F9">
      <w:pPr>
        <w:spacing w:line="240" w:lineRule="auto"/>
        <w:jc w:val="both"/>
        <w:rPr>
          <w:rFonts w:cstheme="minorHAnsi"/>
          <w:color w:val="000000"/>
          <w:sz w:val="24"/>
          <w:szCs w:val="24"/>
        </w:rPr>
      </w:pPr>
      <w:r w:rsidRPr="006C73F9">
        <w:rPr>
          <w:rFonts w:eastAsia="Times New Roman" w:cstheme="minorHAnsi"/>
          <w:sz w:val="24"/>
          <w:szCs w:val="24"/>
          <w:lang w:eastAsia="en-GB"/>
        </w:rPr>
        <w:t xml:space="preserve">e.g. </w:t>
      </w:r>
      <w:r w:rsidR="00126678" w:rsidRPr="006C73F9">
        <w:rPr>
          <w:rFonts w:cstheme="minorHAnsi"/>
          <w:sz w:val="24"/>
          <w:szCs w:val="24"/>
        </w:rPr>
        <w:t>A document from the Provincial Government, Western Cape, South Africa, includes a section on: Prioritising the role of families in relatives’ treatment. But families are not clearly identified as needing help or advice in their own right. F</w:t>
      </w:r>
      <w:r w:rsidR="00CA4FFF" w:rsidRPr="006C73F9">
        <w:rPr>
          <w:rFonts w:cstheme="minorHAnsi"/>
          <w:sz w:val="24"/>
          <w:szCs w:val="24"/>
        </w:rPr>
        <w:t>or example,</w:t>
      </w:r>
      <w:r w:rsidRPr="006C73F9">
        <w:rPr>
          <w:rFonts w:cstheme="minorHAnsi"/>
          <w:sz w:val="24"/>
          <w:szCs w:val="24"/>
        </w:rPr>
        <w:t xml:space="preserve"> </w:t>
      </w:r>
      <w:r w:rsidR="002A63AC" w:rsidRPr="006C73F9">
        <w:rPr>
          <w:rFonts w:cstheme="minorHAnsi"/>
          <w:sz w:val="24"/>
          <w:szCs w:val="24"/>
        </w:rPr>
        <w:t xml:space="preserve">the section refers </w:t>
      </w:r>
      <w:r w:rsidRPr="006C73F9">
        <w:rPr>
          <w:rFonts w:cstheme="minorHAnsi"/>
          <w:sz w:val="24"/>
          <w:szCs w:val="24"/>
        </w:rPr>
        <w:t>to:</w:t>
      </w:r>
      <w:r w:rsidRPr="006C73F9">
        <w:rPr>
          <w:rFonts w:cstheme="minorHAnsi"/>
          <w:b/>
          <w:sz w:val="24"/>
          <w:szCs w:val="24"/>
        </w:rPr>
        <w:t xml:space="preserve"> </w:t>
      </w:r>
      <w:r w:rsidRPr="006C73F9">
        <w:rPr>
          <w:rFonts w:cstheme="minorHAnsi"/>
          <w:color w:val="000000"/>
          <w:sz w:val="24"/>
          <w:szCs w:val="24"/>
        </w:rPr>
        <w:t>Drug Intervention Team</w:t>
      </w:r>
      <w:r w:rsidR="002A63AC" w:rsidRPr="006C73F9">
        <w:rPr>
          <w:rFonts w:cstheme="minorHAnsi"/>
          <w:color w:val="000000"/>
          <w:sz w:val="24"/>
          <w:szCs w:val="24"/>
        </w:rPr>
        <w:t>s</w:t>
      </w:r>
      <w:r w:rsidRPr="006C73F9">
        <w:rPr>
          <w:rFonts w:cstheme="minorHAnsi"/>
          <w:color w:val="000000"/>
          <w:sz w:val="24"/>
          <w:szCs w:val="24"/>
        </w:rPr>
        <w:t xml:space="preserve"> (DIT</w:t>
      </w:r>
      <w:r w:rsidR="002A63AC" w:rsidRPr="006C73F9">
        <w:rPr>
          <w:rFonts w:cstheme="minorHAnsi"/>
          <w:color w:val="000000"/>
          <w:sz w:val="24"/>
          <w:szCs w:val="24"/>
        </w:rPr>
        <w:t>s</w:t>
      </w:r>
      <w:r w:rsidRPr="006C73F9">
        <w:rPr>
          <w:rFonts w:cstheme="minorHAnsi"/>
          <w:color w:val="000000"/>
          <w:sz w:val="24"/>
          <w:szCs w:val="24"/>
        </w:rPr>
        <w:t xml:space="preserve">) </w:t>
      </w:r>
      <w:r w:rsidR="002A63AC" w:rsidRPr="006C73F9">
        <w:rPr>
          <w:rFonts w:cstheme="minorHAnsi"/>
          <w:color w:val="000000"/>
          <w:sz w:val="24"/>
          <w:szCs w:val="24"/>
        </w:rPr>
        <w:t xml:space="preserve">that </w:t>
      </w:r>
      <w:r w:rsidRPr="006C73F9">
        <w:rPr>
          <w:rFonts w:cstheme="minorHAnsi"/>
          <w:color w:val="000000"/>
          <w:sz w:val="24"/>
          <w:szCs w:val="24"/>
        </w:rPr>
        <w:t xml:space="preserve">can be set up with outreach- (i.e. can be deployed to police stations, </w:t>
      </w:r>
      <w:proofErr w:type="gramStart"/>
      <w:r w:rsidRPr="006C73F9">
        <w:rPr>
          <w:rFonts w:cstheme="minorHAnsi"/>
          <w:color w:val="000000"/>
          <w:sz w:val="24"/>
          <w:szCs w:val="24"/>
        </w:rPr>
        <w:t>schools</w:t>
      </w:r>
      <w:proofErr w:type="gramEnd"/>
      <w:r w:rsidRPr="006C73F9">
        <w:rPr>
          <w:rFonts w:cstheme="minorHAnsi"/>
          <w:color w:val="000000"/>
          <w:sz w:val="24"/>
          <w:szCs w:val="24"/>
        </w:rPr>
        <w:t xml:space="preserve"> and courts, for example) and office-based workers who </w:t>
      </w:r>
      <w:r w:rsidR="002A63AC" w:rsidRPr="006C73F9">
        <w:rPr>
          <w:rFonts w:cstheme="minorHAnsi"/>
          <w:color w:val="000000"/>
          <w:sz w:val="24"/>
          <w:szCs w:val="24"/>
        </w:rPr>
        <w:t xml:space="preserve">can </w:t>
      </w:r>
      <w:r w:rsidRPr="006C73F9">
        <w:rPr>
          <w:rFonts w:cstheme="minorHAnsi"/>
          <w:color w:val="000000"/>
          <w:sz w:val="24"/>
          <w:szCs w:val="24"/>
        </w:rPr>
        <w:t>engage with drug users and their families. The</w:t>
      </w:r>
      <w:r w:rsidR="002A63AC" w:rsidRPr="006C73F9">
        <w:rPr>
          <w:rFonts w:cstheme="minorHAnsi"/>
          <w:color w:val="000000"/>
          <w:sz w:val="24"/>
          <w:szCs w:val="24"/>
        </w:rPr>
        <w:t xml:space="preserve"> latter</w:t>
      </w:r>
      <w:r w:rsidRPr="006C73F9">
        <w:rPr>
          <w:rFonts w:cstheme="minorHAnsi"/>
          <w:color w:val="000000"/>
          <w:sz w:val="24"/>
          <w:szCs w:val="24"/>
        </w:rPr>
        <w:t xml:space="preserve"> w</w:t>
      </w:r>
      <w:r w:rsidR="002A63AC" w:rsidRPr="006C73F9">
        <w:rPr>
          <w:rFonts w:cstheme="minorHAnsi"/>
          <w:color w:val="000000"/>
          <w:sz w:val="24"/>
          <w:szCs w:val="24"/>
        </w:rPr>
        <w:t>ould</w:t>
      </w:r>
      <w:r w:rsidRPr="006C73F9">
        <w:rPr>
          <w:rFonts w:cstheme="minorHAnsi"/>
          <w:color w:val="000000"/>
          <w:sz w:val="24"/>
          <w:szCs w:val="24"/>
        </w:rPr>
        <w:t xml:space="preserve"> engage with clients and their families and motivate them to go to the next level of care; as well as giving advice on how to reduce the harms caused by drugs. Drug Assessment Team</w:t>
      </w:r>
      <w:r w:rsidR="002A63AC" w:rsidRPr="006C73F9">
        <w:rPr>
          <w:rFonts w:cstheme="minorHAnsi"/>
          <w:color w:val="000000"/>
          <w:sz w:val="24"/>
          <w:szCs w:val="24"/>
        </w:rPr>
        <w:t>s</w:t>
      </w:r>
      <w:r w:rsidRPr="006C73F9">
        <w:rPr>
          <w:rFonts w:cstheme="minorHAnsi"/>
          <w:color w:val="000000"/>
          <w:sz w:val="24"/>
          <w:szCs w:val="24"/>
        </w:rPr>
        <w:t xml:space="preserve"> would work with all clients, even those who are not yet ready to stop using drugs, and if necessary develop a care plan for them and their families.</w:t>
      </w:r>
      <w:r w:rsidR="00135351" w:rsidRPr="006C73F9">
        <w:rPr>
          <w:rFonts w:cstheme="minorHAnsi"/>
          <w:color w:val="000000"/>
          <w:sz w:val="24"/>
          <w:szCs w:val="24"/>
        </w:rPr>
        <w:t xml:space="preserve"> </w:t>
      </w:r>
    </w:p>
    <w:p w14:paraId="53E637BD" w14:textId="65A22C16" w:rsidR="000A502D" w:rsidRPr="006C73F9" w:rsidRDefault="000A502D" w:rsidP="006C73F9">
      <w:pPr>
        <w:spacing w:line="240" w:lineRule="auto"/>
        <w:jc w:val="both"/>
        <w:rPr>
          <w:rFonts w:eastAsia="Times New Roman" w:cstheme="minorHAnsi"/>
          <w:sz w:val="24"/>
          <w:szCs w:val="24"/>
          <w:lang w:eastAsia="en-GB"/>
        </w:rPr>
      </w:pPr>
      <w:r w:rsidRPr="006C73F9">
        <w:rPr>
          <w:rFonts w:cstheme="minorHAnsi"/>
          <w:sz w:val="24"/>
          <w:szCs w:val="24"/>
        </w:rPr>
        <w:t xml:space="preserve">4. </w:t>
      </w:r>
      <w:r w:rsidRPr="006C73F9">
        <w:rPr>
          <w:rFonts w:cstheme="minorHAnsi"/>
          <w:b/>
          <w:sz w:val="24"/>
          <w:szCs w:val="24"/>
        </w:rPr>
        <w:t>Mention, sometimes quite specifically, but not followed through</w:t>
      </w:r>
      <w:r w:rsidRPr="006C73F9">
        <w:rPr>
          <w:rFonts w:cstheme="minorHAnsi"/>
          <w:sz w:val="24"/>
          <w:szCs w:val="24"/>
        </w:rPr>
        <w:t>; for example, not followed through to assessments, costing or reviewing whether objectives have been met.</w:t>
      </w:r>
    </w:p>
    <w:p w14:paraId="6A6880C9" w14:textId="4A768AF1" w:rsidR="00182719" w:rsidRPr="006C73F9" w:rsidRDefault="002C4825" w:rsidP="006C73F9">
      <w:pPr>
        <w:spacing w:line="240" w:lineRule="auto"/>
        <w:jc w:val="both"/>
        <w:rPr>
          <w:rFonts w:eastAsia="Times New Roman" w:cstheme="minorHAnsi"/>
          <w:sz w:val="24"/>
          <w:szCs w:val="24"/>
          <w:lang w:eastAsia="en-GB"/>
        </w:rPr>
      </w:pPr>
      <w:r w:rsidRPr="006C73F9">
        <w:rPr>
          <w:rFonts w:cstheme="minorHAnsi"/>
          <w:sz w:val="24"/>
          <w:szCs w:val="24"/>
        </w:rPr>
        <w:t xml:space="preserve">e.g. </w:t>
      </w:r>
      <w:r w:rsidR="000A502D" w:rsidRPr="006C73F9">
        <w:rPr>
          <w:rFonts w:cstheme="minorHAnsi"/>
          <w:sz w:val="24"/>
          <w:szCs w:val="24"/>
        </w:rPr>
        <w:t xml:space="preserve">a 2013 Dutch document, </w:t>
      </w:r>
      <w:r w:rsidR="000A502D" w:rsidRPr="006C73F9">
        <w:rPr>
          <w:rFonts w:eastAsia="Calibri" w:cstheme="minorHAnsi"/>
          <w:sz w:val="24"/>
          <w:szCs w:val="24"/>
        </w:rPr>
        <w:t>National Institute for Public Health and Environmental Protection. A paragraph</w:t>
      </w:r>
      <w:r w:rsidR="000A502D" w:rsidRPr="006C73F9">
        <w:rPr>
          <w:rFonts w:cstheme="minorHAnsi"/>
          <w:sz w:val="24"/>
          <w:szCs w:val="24"/>
        </w:rPr>
        <w:t xml:space="preserve"> on harms to others in society (‘victims’) says</w:t>
      </w:r>
      <w:r w:rsidR="002670FF" w:rsidRPr="006C73F9">
        <w:rPr>
          <w:rFonts w:cstheme="minorHAnsi"/>
          <w:sz w:val="24"/>
          <w:szCs w:val="24"/>
        </w:rPr>
        <w:t xml:space="preserve">: </w:t>
      </w:r>
      <w:r w:rsidR="00182719" w:rsidRPr="006C73F9">
        <w:rPr>
          <w:rFonts w:eastAsia="Calibri" w:cstheme="minorHAnsi"/>
          <w:sz w:val="24"/>
          <w:szCs w:val="24"/>
        </w:rPr>
        <w:t>‘An important cost item, which has not been discussed previously, concerns the loss of quality of life of family members of alcoholics, for example, through fear for domestic violence, or by having to take care of their alcoholic family member</w:t>
      </w:r>
      <w:r w:rsidR="000A502D" w:rsidRPr="006C73F9">
        <w:rPr>
          <w:rFonts w:eastAsia="Calibri" w:cstheme="minorHAnsi"/>
          <w:sz w:val="24"/>
          <w:szCs w:val="24"/>
        </w:rPr>
        <w:t xml:space="preserve">… </w:t>
      </w:r>
      <w:r w:rsidR="00182719" w:rsidRPr="006C73F9">
        <w:rPr>
          <w:rFonts w:eastAsia="Calibri" w:cstheme="minorHAnsi"/>
          <w:sz w:val="24"/>
          <w:szCs w:val="24"/>
        </w:rPr>
        <w:t xml:space="preserve">As there is no quantitative data available, these costs have been </w:t>
      </w:r>
      <w:r w:rsidR="00182719" w:rsidRPr="006C73F9">
        <w:rPr>
          <w:rFonts w:cstheme="minorHAnsi"/>
          <w:sz w:val="24"/>
          <w:szCs w:val="24"/>
        </w:rPr>
        <w:t>stated solely as ‘to be determined’</w:t>
      </w:r>
      <w:r w:rsidR="000A502D" w:rsidRPr="006C73F9">
        <w:rPr>
          <w:rFonts w:cstheme="minorHAnsi"/>
          <w:sz w:val="24"/>
          <w:szCs w:val="24"/>
        </w:rPr>
        <w:t>.</w:t>
      </w:r>
    </w:p>
    <w:p w14:paraId="7209FDD2" w14:textId="03F79876" w:rsidR="002C4825" w:rsidRPr="006C73F9" w:rsidRDefault="002C4825" w:rsidP="006C73F9">
      <w:pPr>
        <w:spacing w:line="240" w:lineRule="auto"/>
        <w:jc w:val="both"/>
        <w:rPr>
          <w:rFonts w:cstheme="minorHAnsi"/>
          <w:sz w:val="24"/>
          <w:szCs w:val="24"/>
        </w:rPr>
      </w:pPr>
      <w:r w:rsidRPr="006C73F9">
        <w:rPr>
          <w:sz w:val="24"/>
          <w:szCs w:val="24"/>
        </w:rPr>
        <w:t>e.g. Responsible Gambling Strategy Board (UK) National Responsible Gambling Strategy 2016-17 to 2018-19 which appears to</w:t>
      </w:r>
      <w:r w:rsidR="00CD0FDF" w:rsidRPr="006C73F9">
        <w:rPr>
          <w:sz w:val="24"/>
          <w:szCs w:val="24"/>
        </w:rPr>
        <w:t xml:space="preserve"> show commendable recognition of affected families. They are mentioned in the Executive Summary and in no less than 11 separate places in the main document. Harm to families is recognised as a general category of harm, not confined, as is the case in UK Government alcohol and drug strategies, to certain </w:t>
      </w:r>
      <w:r w:rsidR="00CD0FDF" w:rsidRPr="006C73F9">
        <w:rPr>
          <w:sz w:val="24"/>
          <w:szCs w:val="24"/>
        </w:rPr>
        <w:lastRenderedPageBreak/>
        <w:t xml:space="preserve">sub-categories such as children, pregnant </w:t>
      </w:r>
      <w:proofErr w:type="gramStart"/>
      <w:r w:rsidR="00CD0FDF" w:rsidRPr="006C73F9">
        <w:rPr>
          <w:sz w:val="24"/>
          <w:szCs w:val="24"/>
        </w:rPr>
        <w:t>women</w:t>
      </w:r>
      <w:proofErr w:type="gramEnd"/>
      <w:r w:rsidR="00CD0FDF" w:rsidRPr="006C73F9">
        <w:rPr>
          <w:sz w:val="24"/>
          <w:szCs w:val="24"/>
        </w:rPr>
        <w:t xml:space="preserve"> or foetuses.</w:t>
      </w:r>
      <w:r w:rsidRPr="006C73F9">
        <w:rPr>
          <w:sz w:val="24"/>
          <w:szCs w:val="24"/>
        </w:rPr>
        <w:t xml:space="preserve"> </w:t>
      </w:r>
      <w:r w:rsidR="00CD0FDF" w:rsidRPr="006C73F9">
        <w:rPr>
          <w:sz w:val="24"/>
          <w:szCs w:val="24"/>
        </w:rPr>
        <w:t>On the other hand, these mentions of family harm are brief and very general</w:t>
      </w:r>
      <w:r w:rsidRPr="006C73F9">
        <w:rPr>
          <w:sz w:val="24"/>
          <w:szCs w:val="24"/>
        </w:rPr>
        <w:t xml:space="preserve">. It looks rather as if RGSB was paying lip service to the interests of families. This impression is strengthened by an analysis of their report, a year later, </w:t>
      </w:r>
      <w:proofErr w:type="gramStart"/>
      <w:r w:rsidRPr="006C73F9">
        <w:rPr>
          <w:i/>
          <w:sz w:val="24"/>
          <w:szCs w:val="24"/>
        </w:rPr>
        <w:t>One</w:t>
      </w:r>
      <w:proofErr w:type="gramEnd"/>
      <w:r w:rsidRPr="006C73F9">
        <w:rPr>
          <w:i/>
          <w:sz w:val="24"/>
          <w:szCs w:val="24"/>
        </w:rPr>
        <w:t xml:space="preserve"> year on: progress delivering the National Responsible Gambling Strategy, June 2017,</w:t>
      </w:r>
      <w:r w:rsidRPr="006C73F9">
        <w:rPr>
          <w:sz w:val="24"/>
          <w:szCs w:val="24"/>
        </w:rPr>
        <w:t xml:space="preserve"> a 20-page document with 56 sub-sections in which affected families are mentioned only once and then indirectly. It seems that affected families have been lost sight of between the writing </w:t>
      </w:r>
      <w:r w:rsidRPr="006C73F9">
        <w:rPr>
          <w:rFonts w:cstheme="minorHAnsi"/>
          <w:sz w:val="24"/>
          <w:szCs w:val="24"/>
        </w:rPr>
        <w:t>of the Strategy document and the first year progress report.</w:t>
      </w:r>
    </w:p>
    <w:p w14:paraId="6BBEE329" w14:textId="22AFAF05" w:rsidR="00E61A1A" w:rsidRPr="006C73F9" w:rsidRDefault="00040535" w:rsidP="006C73F9">
      <w:pPr>
        <w:spacing w:line="240" w:lineRule="auto"/>
        <w:jc w:val="both"/>
        <w:rPr>
          <w:rFonts w:cstheme="minorHAnsi"/>
          <w:sz w:val="24"/>
          <w:szCs w:val="24"/>
        </w:rPr>
      </w:pPr>
      <w:r w:rsidRPr="006C73F9">
        <w:rPr>
          <w:rFonts w:cstheme="minorHAnsi"/>
          <w:sz w:val="24"/>
          <w:szCs w:val="24"/>
        </w:rPr>
        <w:t>5</w:t>
      </w:r>
      <w:r w:rsidR="00E61A1A" w:rsidRPr="006C73F9">
        <w:rPr>
          <w:rFonts w:cstheme="minorHAnsi"/>
          <w:sz w:val="24"/>
          <w:szCs w:val="24"/>
        </w:rPr>
        <w:t>.</w:t>
      </w:r>
      <w:r w:rsidRPr="006C73F9">
        <w:rPr>
          <w:rFonts w:cstheme="minorHAnsi"/>
          <w:sz w:val="24"/>
          <w:szCs w:val="24"/>
        </w:rPr>
        <w:t xml:space="preserve"> </w:t>
      </w:r>
      <w:r w:rsidRPr="006C73F9">
        <w:rPr>
          <w:rFonts w:cstheme="minorHAnsi"/>
          <w:b/>
          <w:sz w:val="24"/>
          <w:szCs w:val="24"/>
        </w:rPr>
        <w:t>Although families are mentioned a number of times, it is mostly children who are the focus</w:t>
      </w:r>
    </w:p>
    <w:p w14:paraId="12D77B09" w14:textId="424BBFBB" w:rsidR="00040535" w:rsidRPr="006C73F9" w:rsidRDefault="00040535" w:rsidP="006C73F9">
      <w:pPr>
        <w:spacing w:line="240" w:lineRule="auto"/>
        <w:jc w:val="both"/>
        <w:rPr>
          <w:rFonts w:cstheme="minorHAnsi"/>
          <w:sz w:val="24"/>
          <w:szCs w:val="24"/>
        </w:rPr>
      </w:pPr>
      <w:r w:rsidRPr="006C73F9">
        <w:rPr>
          <w:rFonts w:cstheme="minorHAnsi"/>
          <w:sz w:val="24"/>
          <w:szCs w:val="24"/>
        </w:rPr>
        <w:t>e.g</w:t>
      </w:r>
      <w:r w:rsidR="00E61A1A" w:rsidRPr="006C73F9">
        <w:rPr>
          <w:rFonts w:cstheme="minorHAnsi"/>
          <w:sz w:val="24"/>
          <w:szCs w:val="24"/>
        </w:rPr>
        <w:t>.</w:t>
      </w:r>
      <w:r w:rsidRPr="006C73F9">
        <w:rPr>
          <w:rFonts w:cstheme="minorHAnsi"/>
          <w:sz w:val="24"/>
          <w:szCs w:val="24"/>
        </w:rPr>
        <w:t xml:space="preserve"> German </w:t>
      </w:r>
      <w:r w:rsidR="00E61A1A" w:rsidRPr="006C73F9">
        <w:rPr>
          <w:rFonts w:cstheme="minorHAnsi"/>
          <w:sz w:val="24"/>
          <w:szCs w:val="24"/>
        </w:rPr>
        <w:t>N</w:t>
      </w:r>
      <w:r w:rsidRPr="006C73F9">
        <w:rPr>
          <w:rFonts w:cstheme="minorHAnsi"/>
          <w:sz w:val="24"/>
          <w:szCs w:val="24"/>
        </w:rPr>
        <w:t xml:space="preserve">ational </w:t>
      </w:r>
      <w:r w:rsidR="00E61A1A" w:rsidRPr="006C73F9">
        <w:rPr>
          <w:rFonts w:cstheme="minorHAnsi"/>
          <w:sz w:val="24"/>
          <w:szCs w:val="24"/>
        </w:rPr>
        <w:t>S</w:t>
      </w:r>
      <w:r w:rsidRPr="006C73F9">
        <w:rPr>
          <w:rFonts w:cstheme="minorHAnsi"/>
          <w:sz w:val="24"/>
          <w:szCs w:val="24"/>
        </w:rPr>
        <w:t>trategy</w:t>
      </w:r>
      <w:r w:rsidR="00E61A1A" w:rsidRPr="006C73F9">
        <w:rPr>
          <w:rFonts w:cstheme="minorHAnsi"/>
          <w:sz w:val="24"/>
          <w:szCs w:val="24"/>
        </w:rPr>
        <w:t xml:space="preserve"> on Drug and Addiction Policy 2012</w:t>
      </w:r>
      <w:r w:rsidRPr="006C73F9">
        <w:rPr>
          <w:rFonts w:cstheme="minorHAnsi"/>
          <w:sz w:val="24"/>
          <w:szCs w:val="24"/>
        </w:rPr>
        <w:t xml:space="preserve"> </w:t>
      </w:r>
      <w:r w:rsidR="00E61A1A" w:rsidRPr="006C73F9">
        <w:rPr>
          <w:rFonts w:cstheme="minorHAnsi"/>
          <w:sz w:val="24"/>
          <w:szCs w:val="24"/>
        </w:rPr>
        <w:t>(</w:t>
      </w:r>
      <w:r w:rsidRPr="006C73F9">
        <w:rPr>
          <w:rFonts w:cstheme="minorHAnsi"/>
          <w:sz w:val="24"/>
          <w:szCs w:val="24"/>
        </w:rPr>
        <w:t xml:space="preserve">NB </w:t>
      </w:r>
      <w:r w:rsidR="002C4825" w:rsidRPr="006C73F9">
        <w:rPr>
          <w:rFonts w:cstheme="minorHAnsi"/>
          <w:sz w:val="24"/>
          <w:szCs w:val="24"/>
        </w:rPr>
        <w:t xml:space="preserve">the </w:t>
      </w:r>
      <w:r w:rsidRPr="006C73F9">
        <w:rPr>
          <w:rFonts w:cstheme="minorHAnsi"/>
          <w:sz w:val="24"/>
          <w:szCs w:val="24"/>
        </w:rPr>
        <w:t xml:space="preserve">only </w:t>
      </w:r>
      <w:r w:rsidR="002C4825" w:rsidRPr="006C73F9">
        <w:rPr>
          <w:rFonts w:cstheme="minorHAnsi"/>
          <w:sz w:val="24"/>
          <w:szCs w:val="24"/>
        </w:rPr>
        <w:t xml:space="preserve">document </w:t>
      </w:r>
      <w:r w:rsidR="002A63AC" w:rsidRPr="006C73F9">
        <w:rPr>
          <w:rFonts w:cstheme="minorHAnsi"/>
          <w:sz w:val="24"/>
          <w:szCs w:val="24"/>
        </w:rPr>
        <w:t xml:space="preserve">we have seen which is </w:t>
      </w:r>
      <w:r w:rsidR="002C4825" w:rsidRPr="006C73F9">
        <w:rPr>
          <w:rFonts w:cstheme="minorHAnsi"/>
          <w:sz w:val="24"/>
          <w:szCs w:val="24"/>
        </w:rPr>
        <w:t>about</w:t>
      </w:r>
      <w:r w:rsidRPr="006C73F9">
        <w:rPr>
          <w:rFonts w:cstheme="minorHAnsi"/>
          <w:sz w:val="24"/>
          <w:szCs w:val="24"/>
        </w:rPr>
        <w:t xml:space="preserve"> addiction in general including gambling</w:t>
      </w:r>
      <w:r w:rsidR="002A63AC" w:rsidRPr="006C73F9">
        <w:rPr>
          <w:rFonts w:cstheme="minorHAnsi"/>
          <w:sz w:val="24"/>
          <w:szCs w:val="24"/>
        </w:rPr>
        <w:t>). We understand there is</w:t>
      </w:r>
      <w:r w:rsidR="00EA1868" w:rsidRPr="006C73F9">
        <w:rPr>
          <w:rFonts w:cstheme="minorHAnsi"/>
          <w:sz w:val="24"/>
          <w:szCs w:val="24"/>
        </w:rPr>
        <w:t xml:space="preserve"> </w:t>
      </w:r>
      <w:r w:rsidR="002C4825" w:rsidRPr="006C73F9">
        <w:rPr>
          <w:rFonts w:cstheme="minorHAnsi"/>
          <w:sz w:val="24"/>
          <w:szCs w:val="24"/>
        </w:rPr>
        <w:t xml:space="preserve">a local </w:t>
      </w:r>
      <w:r w:rsidR="00EA1868" w:rsidRPr="006C73F9">
        <w:rPr>
          <w:rFonts w:cstheme="minorHAnsi"/>
          <w:sz w:val="24"/>
          <w:szCs w:val="24"/>
        </w:rPr>
        <w:t>Munich doc</w:t>
      </w:r>
      <w:r w:rsidR="00135351" w:rsidRPr="006C73F9">
        <w:rPr>
          <w:rFonts w:cstheme="minorHAnsi"/>
          <w:sz w:val="24"/>
          <w:szCs w:val="24"/>
        </w:rPr>
        <w:t xml:space="preserve">ument </w:t>
      </w:r>
      <w:r w:rsidR="002A63AC" w:rsidRPr="006C73F9">
        <w:rPr>
          <w:rFonts w:cstheme="minorHAnsi"/>
          <w:sz w:val="24"/>
          <w:szCs w:val="24"/>
        </w:rPr>
        <w:t xml:space="preserve">which </w:t>
      </w:r>
      <w:r w:rsidR="00135351" w:rsidRPr="006C73F9">
        <w:rPr>
          <w:rFonts w:cstheme="minorHAnsi"/>
          <w:sz w:val="24"/>
          <w:szCs w:val="24"/>
        </w:rPr>
        <w:t>is</w:t>
      </w:r>
      <w:r w:rsidR="00EA1868" w:rsidRPr="006C73F9">
        <w:rPr>
          <w:rFonts w:cstheme="minorHAnsi"/>
          <w:sz w:val="24"/>
          <w:szCs w:val="24"/>
        </w:rPr>
        <w:t xml:space="preserve"> more </w:t>
      </w:r>
      <w:r w:rsidR="007B1A0D" w:rsidRPr="006C73F9">
        <w:rPr>
          <w:rFonts w:cstheme="minorHAnsi"/>
          <w:sz w:val="24"/>
          <w:szCs w:val="24"/>
        </w:rPr>
        <w:t>inclusive</w:t>
      </w:r>
      <w:r w:rsidR="002A63AC" w:rsidRPr="006C73F9">
        <w:rPr>
          <w:rFonts w:cstheme="minorHAnsi"/>
          <w:sz w:val="24"/>
          <w:szCs w:val="24"/>
        </w:rPr>
        <w:t xml:space="preserve"> in its coverage</w:t>
      </w:r>
      <w:r w:rsidRPr="006C73F9">
        <w:rPr>
          <w:rFonts w:cstheme="minorHAnsi"/>
          <w:sz w:val="24"/>
          <w:szCs w:val="24"/>
        </w:rPr>
        <w:t>.</w:t>
      </w:r>
    </w:p>
    <w:p w14:paraId="25583F0E" w14:textId="60EB94AF" w:rsidR="00E61A1A" w:rsidRPr="006C73F9" w:rsidRDefault="00E61A1A" w:rsidP="006C73F9">
      <w:pPr>
        <w:spacing w:line="240" w:lineRule="auto"/>
        <w:jc w:val="both"/>
        <w:rPr>
          <w:rFonts w:cstheme="minorHAnsi"/>
          <w:sz w:val="24"/>
          <w:szCs w:val="24"/>
        </w:rPr>
      </w:pPr>
      <w:r w:rsidRPr="006C73F9">
        <w:rPr>
          <w:rFonts w:cstheme="minorHAnsi"/>
          <w:sz w:val="24"/>
          <w:szCs w:val="24"/>
        </w:rPr>
        <w:t>e.g. UK Government 2017 Drug Strategy. Among mentions of</w:t>
      </w:r>
      <w:r w:rsidRPr="006C73F9">
        <w:rPr>
          <w:rFonts w:cstheme="minorHAnsi"/>
          <w:b/>
          <w:sz w:val="24"/>
          <w:szCs w:val="24"/>
        </w:rPr>
        <w:t xml:space="preserve"> </w:t>
      </w:r>
      <w:r w:rsidRPr="006C73F9">
        <w:rPr>
          <w:rFonts w:cstheme="minorHAnsi"/>
          <w:sz w:val="24"/>
          <w:szCs w:val="24"/>
        </w:rPr>
        <w:t xml:space="preserve">specified projects, </w:t>
      </w:r>
      <w:proofErr w:type="gramStart"/>
      <w:r w:rsidRPr="006C73F9">
        <w:rPr>
          <w:rFonts w:cstheme="minorHAnsi"/>
          <w:sz w:val="24"/>
          <w:szCs w:val="24"/>
        </w:rPr>
        <w:t>programmes</w:t>
      </w:r>
      <w:proofErr w:type="gramEnd"/>
      <w:r w:rsidRPr="006C73F9">
        <w:rPr>
          <w:rFonts w:cstheme="minorHAnsi"/>
          <w:sz w:val="24"/>
          <w:szCs w:val="24"/>
        </w:rPr>
        <w:t xml:space="preserve"> or interventions</w:t>
      </w:r>
      <w:r w:rsidR="002A63AC" w:rsidRPr="006C73F9">
        <w:rPr>
          <w:rFonts w:cstheme="minorHAnsi"/>
          <w:sz w:val="24"/>
          <w:szCs w:val="24"/>
        </w:rPr>
        <w:t>,</w:t>
      </w:r>
      <w:r w:rsidRPr="006C73F9">
        <w:rPr>
          <w:rFonts w:cstheme="minorHAnsi"/>
          <w:sz w:val="24"/>
          <w:szCs w:val="24"/>
        </w:rPr>
        <w:t xml:space="preserve"> are several which refer to the work of Public Health England (PHE).</w:t>
      </w:r>
      <w:r w:rsidRPr="006C73F9">
        <w:rPr>
          <w:rFonts w:cstheme="minorHAnsi"/>
          <w:b/>
          <w:sz w:val="24"/>
          <w:szCs w:val="24"/>
        </w:rPr>
        <w:t xml:space="preserve"> </w:t>
      </w:r>
      <w:r w:rsidRPr="006C73F9">
        <w:rPr>
          <w:rFonts w:cstheme="minorHAnsi"/>
          <w:sz w:val="24"/>
          <w:szCs w:val="24"/>
        </w:rPr>
        <w:t xml:space="preserve">It is stated that PHE will be expected to work with Family Drug and Alcohol Courts and local public health teams to help them to work together to improve outcomes for families and children. PHE will also review the evidence and provide advice on the estimated number of children likely to be affected by the drug and/or alcohol use of their </w:t>
      </w:r>
      <w:proofErr w:type="gramStart"/>
      <w:r w:rsidRPr="006C73F9">
        <w:rPr>
          <w:rFonts w:cstheme="minorHAnsi"/>
          <w:sz w:val="24"/>
          <w:szCs w:val="24"/>
        </w:rPr>
        <w:t>parents, and</w:t>
      </w:r>
      <w:proofErr w:type="gramEnd"/>
      <w:r w:rsidRPr="006C73F9">
        <w:rPr>
          <w:rFonts w:cstheme="minorHAnsi"/>
          <w:sz w:val="24"/>
          <w:szCs w:val="24"/>
        </w:rPr>
        <w:t xml:space="preserve"> provide advice to national and local government on where action could have the greatest impact on improving children’s outcomes. It will also develop a toolkit for local authorities to support local responses to parental substance misuse, which will include local prevalence data on parental/carer use, the associated harms and likely costs, </w:t>
      </w:r>
      <w:proofErr w:type="gramStart"/>
      <w:r w:rsidRPr="006C73F9">
        <w:rPr>
          <w:rFonts w:cstheme="minorHAnsi"/>
          <w:sz w:val="24"/>
          <w:szCs w:val="24"/>
        </w:rPr>
        <w:t>guidance</w:t>
      </w:r>
      <w:proofErr w:type="gramEnd"/>
      <w:r w:rsidRPr="006C73F9">
        <w:rPr>
          <w:rFonts w:cstheme="minorHAnsi"/>
          <w:sz w:val="24"/>
          <w:szCs w:val="24"/>
        </w:rPr>
        <w:t xml:space="preserve"> and information on effective interventions.</w:t>
      </w:r>
    </w:p>
    <w:p w14:paraId="2CA27CBD" w14:textId="39EB92B2" w:rsidR="00EA1868" w:rsidRPr="006C73F9" w:rsidRDefault="00040535" w:rsidP="006C73F9">
      <w:pPr>
        <w:spacing w:line="240" w:lineRule="auto"/>
        <w:jc w:val="both"/>
        <w:rPr>
          <w:rFonts w:cstheme="minorHAnsi"/>
          <w:b/>
          <w:sz w:val="24"/>
          <w:szCs w:val="24"/>
        </w:rPr>
      </w:pPr>
      <w:r w:rsidRPr="006C73F9">
        <w:rPr>
          <w:rFonts w:cstheme="minorHAnsi"/>
          <w:b/>
          <w:sz w:val="24"/>
          <w:szCs w:val="24"/>
        </w:rPr>
        <w:t>There are g</w:t>
      </w:r>
      <w:r w:rsidR="00EA3571" w:rsidRPr="006C73F9">
        <w:rPr>
          <w:rFonts w:cstheme="minorHAnsi"/>
          <w:b/>
          <w:sz w:val="24"/>
          <w:szCs w:val="24"/>
        </w:rPr>
        <w:t>ood examples</w:t>
      </w:r>
      <w:r w:rsidR="00E61A1A" w:rsidRPr="006C73F9">
        <w:rPr>
          <w:rFonts w:cstheme="minorHAnsi"/>
          <w:b/>
          <w:sz w:val="24"/>
          <w:szCs w:val="24"/>
        </w:rPr>
        <w:t xml:space="preserve"> </w:t>
      </w:r>
      <w:r w:rsidR="00EA1868" w:rsidRPr="006C73F9">
        <w:rPr>
          <w:rFonts w:eastAsia="Times New Roman" w:cstheme="minorHAnsi"/>
          <w:b/>
          <w:sz w:val="24"/>
          <w:szCs w:val="24"/>
          <w:lang w:eastAsia="en-GB"/>
        </w:rPr>
        <w:t>of supporting family members as a priority</w:t>
      </w:r>
    </w:p>
    <w:p w14:paraId="5559CBDF" w14:textId="41C1BE5B" w:rsidR="00E316A1" w:rsidRPr="006C73F9" w:rsidRDefault="00E61A1A" w:rsidP="006C73F9">
      <w:pPr>
        <w:spacing w:after="0" w:line="240" w:lineRule="auto"/>
        <w:jc w:val="both"/>
        <w:rPr>
          <w:rFonts w:eastAsia="Times New Roman" w:cstheme="minorHAnsi"/>
          <w:sz w:val="24"/>
          <w:szCs w:val="24"/>
          <w:lang w:eastAsia="en-GB"/>
        </w:rPr>
      </w:pPr>
      <w:r w:rsidRPr="006C73F9">
        <w:rPr>
          <w:rFonts w:eastAsia="Times New Roman" w:cstheme="minorHAnsi"/>
          <w:sz w:val="24"/>
          <w:szCs w:val="24"/>
          <w:lang w:eastAsia="en-GB"/>
        </w:rPr>
        <w:t xml:space="preserve">Example A: </w:t>
      </w:r>
      <w:r w:rsidR="00CE6BED" w:rsidRPr="006C73F9">
        <w:rPr>
          <w:rFonts w:eastAsia="Times New Roman" w:cstheme="minorHAnsi"/>
          <w:sz w:val="24"/>
          <w:szCs w:val="24"/>
          <w:lang w:eastAsia="en-GB"/>
        </w:rPr>
        <w:t xml:space="preserve">Substance Misuse Strategy for Wales 2008-18. The bulk of the Strategy is structured around </w:t>
      </w:r>
      <w:bookmarkStart w:id="6" w:name="_Hlk513101411"/>
      <w:r w:rsidR="00CE6BED" w:rsidRPr="006C73F9">
        <w:rPr>
          <w:rFonts w:eastAsia="Times New Roman" w:cstheme="minorHAnsi"/>
          <w:sz w:val="24"/>
          <w:szCs w:val="24"/>
          <w:lang w:eastAsia="en-GB"/>
        </w:rPr>
        <w:t xml:space="preserve">four Priority Action Areas </w:t>
      </w:r>
      <w:bookmarkEnd w:id="6"/>
      <w:r w:rsidR="00CE6BED" w:rsidRPr="006C73F9">
        <w:rPr>
          <w:rFonts w:eastAsia="Times New Roman" w:cstheme="minorHAnsi"/>
          <w:sz w:val="24"/>
          <w:szCs w:val="24"/>
          <w:lang w:eastAsia="en-GB"/>
        </w:rPr>
        <w:t>of which ‘</w:t>
      </w:r>
      <w:r w:rsidR="00CE6BED" w:rsidRPr="006C73F9">
        <w:rPr>
          <w:rFonts w:cstheme="minorHAnsi"/>
          <w:sz w:val="24"/>
          <w:szCs w:val="24"/>
        </w:rPr>
        <w:t xml:space="preserve">Supporting and protecting families’ is the third. A Figure shown in the introductory section of the </w:t>
      </w:r>
      <w:r w:rsidR="00CE6BED" w:rsidRPr="006C73F9">
        <w:rPr>
          <w:rFonts w:eastAsia="Times New Roman" w:cstheme="minorHAnsi"/>
          <w:sz w:val="24"/>
          <w:szCs w:val="24"/>
          <w:lang w:eastAsia="en-GB"/>
        </w:rPr>
        <w:t xml:space="preserve">Executive Summary </w:t>
      </w:r>
      <w:r w:rsidR="00CE6BED" w:rsidRPr="006C73F9">
        <w:rPr>
          <w:rFonts w:cstheme="minorHAnsi"/>
          <w:sz w:val="24"/>
          <w:szCs w:val="24"/>
        </w:rPr>
        <w:t xml:space="preserve">shows ‘Support for Families and Carers’ as a main element of relevance to all points on a continuum from education/prevention to harm minimisation to treatment to aftercare to recovery. </w:t>
      </w:r>
      <w:r w:rsidR="00E316A1" w:rsidRPr="006C73F9">
        <w:rPr>
          <w:rFonts w:cstheme="minorHAnsi"/>
          <w:sz w:val="24"/>
          <w:szCs w:val="24"/>
        </w:rPr>
        <w:t>I</w:t>
      </w:r>
      <w:r w:rsidR="007B1A0D" w:rsidRPr="006C73F9">
        <w:rPr>
          <w:rFonts w:cstheme="minorHAnsi"/>
          <w:sz w:val="24"/>
          <w:szCs w:val="24"/>
        </w:rPr>
        <w:t>t is also i</w:t>
      </w:r>
      <w:r w:rsidR="00E316A1" w:rsidRPr="006C73F9">
        <w:rPr>
          <w:rFonts w:cstheme="minorHAnsi"/>
          <w:sz w:val="24"/>
          <w:szCs w:val="24"/>
        </w:rPr>
        <w:t xml:space="preserve">nclusive: adults </w:t>
      </w:r>
      <w:r w:rsidR="007B1A0D" w:rsidRPr="006C73F9">
        <w:rPr>
          <w:rFonts w:cstheme="minorHAnsi"/>
          <w:sz w:val="24"/>
          <w:szCs w:val="24"/>
        </w:rPr>
        <w:t>as well as children are covered</w:t>
      </w:r>
      <w:r w:rsidR="00E316A1" w:rsidRPr="006C73F9">
        <w:rPr>
          <w:rFonts w:cstheme="minorHAnsi"/>
          <w:sz w:val="24"/>
          <w:szCs w:val="24"/>
        </w:rPr>
        <w:t xml:space="preserve"> although children </w:t>
      </w:r>
      <w:r w:rsidR="007B1A0D" w:rsidRPr="006C73F9">
        <w:rPr>
          <w:rFonts w:cstheme="minorHAnsi"/>
          <w:sz w:val="24"/>
          <w:szCs w:val="24"/>
        </w:rPr>
        <w:t xml:space="preserve">are </w:t>
      </w:r>
      <w:r w:rsidR="00E316A1" w:rsidRPr="006C73F9">
        <w:rPr>
          <w:rFonts w:cstheme="minorHAnsi"/>
          <w:sz w:val="24"/>
          <w:szCs w:val="24"/>
        </w:rPr>
        <w:t xml:space="preserve">still </w:t>
      </w:r>
      <w:r w:rsidR="007B1A0D" w:rsidRPr="006C73F9">
        <w:rPr>
          <w:rFonts w:cstheme="minorHAnsi"/>
          <w:sz w:val="24"/>
          <w:szCs w:val="24"/>
        </w:rPr>
        <w:t xml:space="preserve">the </w:t>
      </w:r>
      <w:r w:rsidR="00E316A1" w:rsidRPr="006C73F9">
        <w:rPr>
          <w:rFonts w:cstheme="minorHAnsi"/>
          <w:sz w:val="24"/>
          <w:szCs w:val="24"/>
        </w:rPr>
        <w:t xml:space="preserve">biggest priority. </w:t>
      </w:r>
      <w:r w:rsidR="007B1A0D" w:rsidRPr="006C73F9">
        <w:rPr>
          <w:rFonts w:cstheme="minorHAnsi"/>
          <w:sz w:val="24"/>
          <w:szCs w:val="24"/>
        </w:rPr>
        <w:t>The good coverage of AFMs appears to follow from the use of the general concept of ‘h</w:t>
      </w:r>
      <w:r w:rsidR="00E316A1" w:rsidRPr="006C73F9">
        <w:rPr>
          <w:rFonts w:eastAsia="Times New Roman" w:cstheme="minorHAnsi"/>
          <w:sz w:val="24"/>
          <w:szCs w:val="24"/>
          <w:lang w:eastAsia="en-GB"/>
        </w:rPr>
        <w:t>arm</w:t>
      </w:r>
      <w:r w:rsidR="007B1A0D" w:rsidRPr="006C73F9">
        <w:rPr>
          <w:rFonts w:eastAsia="Times New Roman" w:cstheme="minorHAnsi"/>
          <w:sz w:val="24"/>
          <w:szCs w:val="24"/>
          <w:lang w:eastAsia="en-GB"/>
        </w:rPr>
        <w:t>’ which</w:t>
      </w:r>
      <w:r w:rsidR="00E316A1" w:rsidRPr="006C73F9">
        <w:rPr>
          <w:rFonts w:eastAsia="Times New Roman" w:cstheme="minorHAnsi"/>
          <w:sz w:val="24"/>
          <w:szCs w:val="24"/>
          <w:lang w:eastAsia="en-GB"/>
        </w:rPr>
        <w:t xml:space="preserve"> is a central idea in this document, appearing in the title and repeated often (although, interestingly, ‘public health’ as a concept is not).</w:t>
      </w:r>
    </w:p>
    <w:p w14:paraId="2F37DF9A" w14:textId="4FCEB36D" w:rsidR="00CE6BED" w:rsidRPr="006C73F9" w:rsidRDefault="00CE6BED" w:rsidP="006C73F9">
      <w:pPr>
        <w:spacing w:after="0" w:line="240" w:lineRule="auto"/>
        <w:jc w:val="both"/>
        <w:rPr>
          <w:rFonts w:eastAsia="Times New Roman" w:cstheme="minorHAnsi"/>
          <w:sz w:val="24"/>
          <w:szCs w:val="24"/>
          <w:lang w:eastAsia="en-GB"/>
        </w:rPr>
      </w:pPr>
    </w:p>
    <w:p w14:paraId="09E90D7E" w14:textId="010E81F8" w:rsidR="004E6638" w:rsidRPr="006C73F9" w:rsidRDefault="00E61A1A" w:rsidP="006C73F9">
      <w:pPr>
        <w:spacing w:line="240" w:lineRule="auto"/>
        <w:jc w:val="both"/>
        <w:rPr>
          <w:rFonts w:cstheme="minorHAnsi"/>
          <w:sz w:val="24"/>
          <w:szCs w:val="24"/>
        </w:rPr>
      </w:pPr>
      <w:r w:rsidRPr="006C73F9">
        <w:rPr>
          <w:rFonts w:eastAsia="Times New Roman" w:cstheme="minorHAnsi"/>
          <w:sz w:val="24"/>
          <w:szCs w:val="24"/>
          <w:lang w:eastAsia="en-GB"/>
        </w:rPr>
        <w:t xml:space="preserve">Example B: </w:t>
      </w:r>
      <w:r w:rsidR="00CE6BED" w:rsidRPr="006C73F9">
        <w:rPr>
          <w:rFonts w:eastAsia="Times New Roman" w:cstheme="minorHAnsi"/>
          <w:sz w:val="24"/>
          <w:szCs w:val="24"/>
          <w:lang w:eastAsia="en-GB"/>
        </w:rPr>
        <w:t xml:space="preserve">Reducing Harm, Supporting Recovery - A health-led response to drug and alcohol use in Ireland 2017-2025. The most recent Irish National Drugs Strategy had considerable input from the National Family Support Network, a peer led organisation supporting family members living with drug and alcohol use. From the outset the impact on families and the involvement of family members in the design and delivery of services is given precedence. This is seen in both the vision </w:t>
      </w:r>
      <w:r w:rsidR="007B1A0D" w:rsidRPr="006C73F9">
        <w:rPr>
          <w:rFonts w:eastAsia="Times New Roman" w:cstheme="minorHAnsi"/>
          <w:sz w:val="24"/>
          <w:szCs w:val="24"/>
          <w:lang w:eastAsia="en-GB"/>
        </w:rPr>
        <w:t xml:space="preserve">statement </w:t>
      </w:r>
      <w:r w:rsidR="00CE6BED" w:rsidRPr="006C73F9">
        <w:rPr>
          <w:rFonts w:eastAsia="Times New Roman" w:cstheme="minorHAnsi"/>
          <w:sz w:val="24"/>
          <w:szCs w:val="24"/>
          <w:lang w:eastAsia="en-GB"/>
        </w:rPr>
        <w:t xml:space="preserve">and </w:t>
      </w:r>
      <w:r w:rsidR="007B1A0D" w:rsidRPr="006C73F9">
        <w:rPr>
          <w:rFonts w:eastAsia="Times New Roman" w:cstheme="minorHAnsi"/>
          <w:sz w:val="24"/>
          <w:szCs w:val="24"/>
          <w:lang w:eastAsia="en-GB"/>
        </w:rPr>
        <w:t xml:space="preserve">in each of the </w:t>
      </w:r>
      <w:r w:rsidR="00CE6BED" w:rsidRPr="006C73F9">
        <w:rPr>
          <w:rFonts w:eastAsia="Times New Roman" w:cstheme="minorHAnsi"/>
          <w:sz w:val="24"/>
          <w:szCs w:val="24"/>
          <w:lang w:eastAsia="en-GB"/>
        </w:rPr>
        <w:t xml:space="preserve">five main objectives of this strategy. Throughout the document the importance of family involvement in supporting the rehabilitation of a service user and the impact on family members when a relative is engaged in problematic substance use is acknowledged. </w:t>
      </w:r>
    </w:p>
    <w:p w14:paraId="4ACE9655" w14:textId="7AA4D7A8" w:rsidR="004E6638" w:rsidRPr="006C73F9" w:rsidRDefault="004E6638" w:rsidP="006C73F9">
      <w:pPr>
        <w:spacing w:after="0" w:line="240" w:lineRule="auto"/>
        <w:jc w:val="center"/>
        <w:rPr>
          <w:rFonts w:eastAsia="Times New Roman" w:cstheme="minorHAnsi"/>
          <w:i/>
          <w:sz w:val="24"/>
          <w:szCs w:val="24"/>
          <w:lang w:eastAsia="en-GB"/>
        </w:rPr>
      </w:pPr>
      <w:r w:rsidRPr="006C73F9">
        <w:rPr>
          <w:rFonts w:eastAsia="Times New Roman" w:cstheme="minorHAnsi"/>
          <w:i/>
          <w:sz w:val="24"/>
          <w:szCs w:val="24"/>
          <w:lang w:eastAsia="en-GB"/>
        </w:rPr>
        <w:t xml:space="preserve">Preliminary </w:t>
      </w:r>
      <w:r w:rsidR="00A7749D" w:rsidRPr="006C73F9">
        <w:rPr>
          <w:rFonts w:eastAsia="Times New Roman" w:cstheme="minorHAnsi"/>
          <w:i/>
          <w:sz w:val="24"/>
          <w:szCs w:val="24"/>
          <w:lang w:eastAsia="en-GB"/>
        </w:rPr>
        <w:t>thoughts about the way</w:t>
      </w:r>
      <w:r w:rsidRPr="006C73F9">
        <w:rPr>
          <w:rFonts w:eastAsia="Times New Roman" w:cstheme="minorHAnsi"/>
          <w:i/>
          <w:sz w:val="24"/>
          <w:szCs w:val="24"/>
          <w:lang w:eastAsia="en-GB"/>
        </w:rPr>
        <w:t xml:space="preserve"> forward</w:t>
      </w:r>
      <w:r w:rsidR="00A7749D" w:rsidRPr="006C73F9">
        <w:rPr>
          <w:rFonts w:eastAsia="Times New Roman" w:cstheme="minorHAnsi"/>
          <w:i/>
          <w:sz w:val="24"/>
          <w:szCs w:val="24"/>
          <w:lang w:eastAsia="en-GB"/>
        </w:rPr>
        <w:t xml:space="preserve"> for this AFINet Project</w:t>
      </w:r>
    </w:p>
    <w:p w14:paraId="21DCFA48" w14:textId="357A552D" w:rsidR="00A954DD" w:rsidRPr="006C73F9" w:rsidRDefault="00A954DD" w:rsidP="006C73F9">
      <w:pPr>
        <w:spacing w:after="0" w:line="240" w:lineRule="auto"/>
        <w:jc w:val="center"/>
        <w:rPr>
          <w:rFonts w:eastAsia="Times New Roman" w:cstheme="minorHAnsi"/>
          <w:i/>
          <w:sz w:val="24"/>
          <w:szCs w:val="24"/>
          <w:lang w:eastAsia="en-GB"/>
        </w:rPr>
      </w:pPr>
    </w:p>
    <w:p w14:paraId="7F3047A8" w14:textId="2F48B8A9" w:rsidR="00A954DD" w:rsidRPr="006C73F9" w:rsidRDefault="00602119" w:rsidP="006C73F9">
      <w:pPr>
        <w:spacing w:after="0" w:line="240" w:lineRule="auto"/>
        <w:contextualSpacing/>
        <w:jc w:val="both"/>
        <w:rPr>
          <w:rFonts w:eastAsia="Times New Roman" w:cstheme="minorHAnsi"/>
          <w:sz w:val="24"/>
          <w:szCs w:val="24"/>
          <w:lang w:eastAsia="en-GB"/>
        </w:rPr>
      </w:pPr>
      <w:r w:rsidRPr="006C73F9">
        <w:rPr>
          <w:rFonts w:eastAsiaTheme="minorEastAsia" w:cstheme="minorHAnsi"/>
          <w:color w:val="000000" w:themeColor="text1"/>
          <w:kern w:val="24"/>
          <w:sz w:val="24"/>
          <w:szCs w:val="24"/>
          <w:lang w:eastAsia="en-GB"/>
        </w:rPr>
        <w:t xml:space="preserve">We now understand and have plenty of examples of the ways in which most government statements do not address the needs of AFMs as we in AFINet would hope for. Perhaps we have enough of that already. </w:t>
      </w:r>
      <w:r w:rsidR="00EC4B88" w:rsidRPr="006C73F9">
        <w:rPr>
          <w:rFonts w:cstheme="minorHAnsi"/>
          <w:color w:val="000000" w:themeColor="text1"/>
          <w:kern w:val="24"/>
          <w:sz w:val="24"/>
          <w:szCs w:val="24"/>
          <w:lang w:eastAsia="en-GB"/>
        </w:rPr>
        <w:t>W</w:t>
      </w:r>
      <w:r w:rsidRPr="006C73F9">
        <w:rPr>
          <w:rFonts w:cstheme="minorHAnsi"/>
          <w:color w:val="000000" w:themeColor="text1"/>
          <w:kern w:val="24"/>
          <w:sz w:val="24"/>
          <w:szCs w:val="24"/>
          <w:lang w:eastAsia="en-GB"/>
        </w:rPr>
        <w:t>hat w</w:t>
      </w:r>
      <w:r w:rsidR="00EC4B88" w:rsidRPr="006C73F9">
        <w:rPr>
          <w:rFonts w:cstheme="minorHAnsi"/>
          <w:color w:val="000000" w:themeColor="text1"/>
          <w:kern w:val="24"/>
          <w:sz w:val="24"/>
          <w:szCs w:val="24"/>
          <w:lang w:eastAsia="en-GB"/>
        </w:rPr>
        <w:t>e should be l</w:t>
      </w:r>
      <w:r w:rsidR="00A954DD" w:rsidRPr="006C73F9">
        <w:rPr>
          <w:rFonts w:cstheme="minorHAnsi"/>
          <w:color w:val="000000" w:themeColor="text1"/>
          <w:kern w:val="24"/>
          <w:sz w:val="24"/>
          <w:szCs w:val="24"/>
          <w:lang w:eastAsia="en-GB"/>
        </w:rPr>
        <w:t>ook</w:t>
      </w:r>
      <w:r w:rsidR="00EC4B88" w:rsidRPr="006C73F9">
        <w:rPr>
          <w:rFonts w:cstheme="minorHAnsi"/>
          <w:color w:val="000000" w:themeColor="text1"/>
          <w:kern w:val="24"/>
          <w:sz w:val="24"/>
          <w:szCs w:val="24"/>
          <w:lang w:eastAsia="en-GB"/>
        </w:rPr>
        <w:t>ing</w:t>
      </w:r>
      <w:r w:rsidR="00A954DD" w:rsidRPr="006C73F9">
        <w:rPr>
          <w:rFonts w:cstheme="minorHAnsi"/>
          <w:color w:val="000000" w:themeColor="text1"/>
          <w:kern w:val="24"/>
          <w:sz w:val="24"/>
          <w:szCs w:val="24"/>
          <w:lang w:eastAsia="en-GB"/>
        </w:rPr>
        <w:t xml:space="preserve"> for </w:t>
      </w:r>
      <w:r w:rsidRPr="006C73F9">
        <w:rPr>
          <w:rFonts w:cstheme="minorHAnsi"/>
          <w:color w:val="000000" w:themeColor="text1"/>
          <w:kern w:val="24"/>
          <w:sz w:val="24"/>
          <w:szCs w:val="24"/>
          <w:lang w:eastAsia="en-GB"/>
        </w:rPr>
        <w:t>now</w:t>
      </w:r>
      <w:r w:rsidR="00A7749D" w:rsidRPr="006C73F9">
        <w:rPr>
          <w:rFonts w:cstheme="minorHAnsi"/>
          <w:color w:val="000000" w:themeColor="text1"/>
          <w:kern w:val="24"/>
          <w:sz w:val="24"/>
          <w:szCs w:val="24"/>
          <w:lang w:eastAsia="en-GB"/>
        </w:rPr>
        <w:t>, perhaps,</w:t>
      </w:r>
      <w:r w:rsidRPr="006C73F9">
        <w:rPr>
          <w:rFonts w:cstheme="minorHAnsi"/>
          <w:color w:val="000000" w:themeColor="text1"/>
          <w:kern w:val="24"/>
          <w:sz w:val="24"/>
          <w:szCs w:val="24"/>
          <w:lang w:eastAsia="en-GB"/>
        </w:rPr>
        <w:t xml:space="preserve"> are further </w:t>
      </w:r>
      <w:r w:rsidR="00A954DD" w:rsidRPr="006C73F9">
        <w:rPr>
          <w:rFonts w:cstheme="minorHAnsi"/>
          <w:color w:val="000000" w:themeColor="text1"/>
          <w:kern w:val="24"/>
          <w:sz w:val="24"/>
          <w:szCs w:val="24"/>
          <w:lang w:eastAsia="en-GB"/>
        </w:rPr>
        <w:t xml:space="preserve">good examples of </w:t>
      </w:r>
      <w:r w:rsidRPr="006C73F9">
        <w:rPr>
          <w:rFonts w:cstheme="minorHAnsi"/>
          <w:color w:val="000000" w:themeColor="text1"/>
          <w:kern w:val="24"/>
          <w:sz w:val="24"/>
          <w:szCs w:val="24"/>
          <w:lang w:eastAsia="en-GB"/>
        </w:rPr>
        <w:t>AFM</w:t>
      </w:r>
      <w:r w:rsidR="00A954DD" w:rsidRPr="006C73F9">
        <w:rPr>
          <w:rFonts w:cstheme="minorHAnsi"/>
          <w:color w:val="000000" w:themeColor="text1"/>
          <w:kern w:val="24"/>
          <w:sz w:val="24"/>
          <w:szCs w:val="24"/>
          <w:lang w:eastAsia="en-GB"/>
        </w:rPr>
        <w:t>-positive government statements</w:t>
      </w:r>
      <w:r w:rsidRPr="006C73F9">
        <w:rPr>
          <w:rFonts w:cstheme="minorHAnsi"/>
          <w:color w:val="000000" w:themeColor="text1"/>
          <w:kern w:val="24"/>
          <w:sz w:val="24"/>
          <w:szCs w:val="24"/>
          <w:lang w:eastAsia="en-GB"/>
        </w:rPr>
        <w:t>. I have given two examples</w:t>
      </w:r>
      <w:r w:rsidR="00A7749D" w:rsidRPr="006C73F9">
        <w:rPr>
          <w:rFonts w:cstheme="minorHAnsi"/>
          <w:color w:val="000000" w:themeColor="text1"/>
          <w:kern w:val="24"/>
          <w:sz w:val="24"/>
          <w:szCs w:val="24"/>
          <w:lang w:eastAsia="en-GB"/>
        </w:rPr>
        <w:t xml:space="preserve"> above</w:t>
      </w:r>
      <w:r w:rsidRPr="006C73F9">
        <w:rPr>
          <w:rFonts w:cstheme="minorHAnsi"/>
          <w:color w:val="000000" w:themeColor="text1"/>
          <w:kern w:val="24"/>
          <w:sz w:val="24"/>
          <w:szCs w:val="24"/>
          <w:lang w:eastAsia="en-GB"/>
        </w:rPr>
        <w:t>, from Wales and Ireland, and we know others exist (e.g. from Germany). It might be good to have a total of, say, six good examples</w:t>
      </w:r>
      <w:r w:rsidR="00A7749D" w:rsidRPr="006C73F9">
        <w:rPr>
          <w:rFonts w:cstheme="minorHAnsi"/>
          <w:color w:val="000000" w:themeColor="text1"/>
          <w:kern w:val="24"/>
          <w:sz w:val="24"/>
          <w:szCs w:val="24"/>
          <w:lang w:eastAsia="en-GB"/>
        </w:rPr>
        <w:t>, analysed in some detail</w:t>
      </w:r>
      <w:r w:rsidRPr="006C73F9">
        <w:rPr>
          <w:rFonts w:cstheme="minorHAnsi"/>
          <w:color w:val="000000" w:themeColor="text1"/>
          <w:kern w:val="24"/>
          <w:sz w:val="24"/>
          <w:szCs w:val="24"/>
          <w:lang w:eastAsia="en-GB"/>
        </w:rPr>
        <w:t xml:space="preserve">. A description of how most government documents get it wrong, with examples of how some do get it right and could serve as models for </w:t>
      </w:r>
      <w:r w:rsidR="001B53F6" w:rsidRPr="006C73F9">
        <w:rPr>
          <w:rFonts w:cstheme="minorHAnsi"/>
          <w:color w:val="000000" w:themeColor="text1"/>
          <w:kern w:val="24"/>
          <w:sz w:val="24"/>
          <w:szCs w:val="24"/>
          <w:lang w:eastAsia="en-GB"/>
        </w:rPr>
        <w:t>all governments, could form the core of a good paper</w:t>
      </w:r>
      <w:r w:rsidR="00A7749D" w:rsidRPr="006C73F9">
        <w:rPr>
          <w:rFonts w:cstheme="minorHAnsi"/>
          <w:color w:val="000000" w:themeColor="text1"/>
          <w:kern w:val="24"/>
          <w:sz w:val="24"/>
          <w:szCs w:val="24"/>
          <w:lang w:eastAsia="en-GB"/>
        </w:rPr>
        <w:t>,</w:t>
      </w:r>
      <w:r w:rsidR="001B53F6" w:rsidRPr="006C73F9">
        <w:rPr>
          <w:rFonts w:cstheme="minorHAnsi"/>
          <w:color w:val="000000" w:themeColor="text1"/>
          <w:kern w:val="24"/>
          <w:sz w:val="24"/>
          <w:szCs w:val="24"/>
          <w:lang w:eastAsia="en-GB"/>
        </w:rPr>
        <w:t xml:space="preserve"> or chapter in the proposed AFINet book.</w:t>
      </w:r>
    </w:p>
    <w:p w14:paraId="3688D895" w14:textId="3AE9AA8A" w:rsidR="001B53F6" w:rsidRPr="006C73F9" w:rsidRDefault="001B53F6" w:rsidP="006C73F9">
      <w:pPr>
        <w:spacing w:after="0" w:line="240" w:lineRule="auto"/>
        <w:contextualSpacing/>
        <w:jc w:val="both"/>
        <w:rPr>
          <w:rFonts w:eastAsia="Times New Roman" w:cstheme="minorHAnsi"/>
          <w:sz w:val="24"/>
          <w:szCs w:val="24"/>
          <w:lang w:eastAsia="en-GB"/>
        </w:rPr>
      </w:pPr>
    </w:p>
    <w:p w14:paraId="056A2E21" w14:textId="39544C64" w:rsidR="00CE6BED" w:rsidRPr="006C73F9" w:rsidRDefault="001B53F6" w:rsidP="006C73F9">
      <w:pPr>
        <w:spacing w:after="0" w:line="240" w:lineRule="auto"/>
        <w:contextualSpacing/>
        <w:jc w:val="both"/>
        <w:rPr>
          <w:rFonts w:eastAsia="Times New Roman" w:cstheme="minorHAnsi"/>
          <w:sz w:val="24"/>
          <w:szCs w:val="24"/>
          <w:lang w:eastAsia="en-GB"/>
        </w:rPr>
      </w:pPr>
      <w:r w:rsidRPr="006C73F9">
        <w:rPr>
          <w:rFonts w:eastAsia="Times New Roman" w:cstheme="minorHAnsi"/>
          <w:sz w:val="24"/>
          <w:szCs w:val="24"/>
          <w:lang w:eastAsia="en-GB"/>
        </w:rPr>
        <w:t>The</w:t>
      </w:r>
      <w:r w:rsidR="00A7749D" w:rsidRPr="006C73F9">
        <w:rPr>
          <w:rFonts w:eastAsia="Times New Roman" w:cstheme="minorHAnsi"/>
          <w:sz w:val="24"/>
          <w:szCs w:val="24"/>
          <w:lang w:eastAsia="en-GB"/>
        </w:rPr>
        <w:t>re is then the</w:t>
      </w:r>
      <w:r w:rsidRPr="006C73F9">
        <w:rPr>
          <w:rFonts w:eastAsia="Times New Roman" w:cstheme="minorHAnsi"/>
          <w:sz w:val="24"/>
          <w:szCs w:val="24"/>
          <w:lang w:eastAsia="en-GB"/>
        </w:rPr>
        <w:t xml:space="preserve"> further question of whether, and if so how, this projec</w:t>
      </w:r>
      <w:r w:rsidR="00A7749D" w:rsidRPr="006C73F9">
        <w:rPr>
          <w:rFonts w:eastAsia="Times New Roman" w:cstheme="minorHAnsi"/>
          <w:sz w:val="24"/>
          <w:szCs w:val="24"/>
          <w:lang w:eastAsia="en-GB"/>
        </w:rPr>
        <w:t>t</w:t>
      </w:r>
      <w:r w:rsidRPr="006C73F9">
        <w:rPr>
          <w:rFonts w:eastAsia="Times New Roman" w:cstheme="minorHAnsi"/>
          <w:sz w:val="24"/>
          <w:szCs w:val="24"/>
          <w:lang w:eastAsia="en-GB"/>
        </w:rPr>
        <w:t xml:space="preserve"> goes on to embark on the originally proposed Stages 2 &amp; 3</w:t>
      </w:r>
      <w:r w:rsidR="004F7BF3">
        <w:rPr>
          <w:rFonts w:eastAsia="Times New Roman" w:cstheme="minorHAnsi"/>
          <w:sz w:val="24"/>
          <w:szCs w:val="24"/>
          <w:lang w:eastAsia="en-GB"/>
        </w:rPr>
        <w:t>.</w:t>
      </w:r>
    </w:p>
    <w:sectPr w:rsidR="00CE6BED" w:rsidRPr="006C73F9" w:rsidSect="006C73F9">
      <w:footerReference w:type="default" r:id="rId7"/>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9EB0A" w14:textId="77777777" w:rsidR="00B478AC" w:rsidRDefault="00B478AC" w:rsidP="006C73F9">
      <w:pPr>
        <w:spacing w:after="0" w:line="240" w:lineRule="auto"/>
      </w:pPr>
      <w:r>
        <w:separator/>
      </w:r>
    </w:p>
  </w:endnote>
  <w:endnote w:type="continuationSeparator" w:id="0">
    <w:p w14:paraId="2B3CABA2" w14:textId="77777777" w:rsidR="00B478AC" w:rsidRDefault="00B478AC" w:rsidP="006C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728126"/>
      <w:docPartObj>
        <w:docPartGallery w:val="Page Numbers (Bottom of Page)"/>
        <w:docPartUnique/>
      </w:docPartObj>
    </w:sdtPr>
    <w:sdtEndPr>
      <w:rPr>
        <w:noProof/>
      </w:rPr>
    </w:sdtEndPr>
    <w:sdtContent>
      <w:p w14:paraId="5E45B5B2" w14:textId="5FC12EBF" w:rsidR="006C73F9" w:rsidRDefault="006C73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516C23" w14:textId="77777777" w:rsidR="006C73F9" w:rsidRDefault="006C7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AC1D1" w14:textId="77777777" w:rsidR="00B478AC" w:rsidRDefault="00B478AC" w:rsidP="006C73F9">
      <w:pPr>
        <w:spacing w:after="0" w:line="240" w:lineRule="auto"/>
      </w:pPr>
      <w:r>
        <w:separator/>
      </w:r>
    </w:p>
  </w:footnote>
  <w:footnote w:type="continuationSeparator" w:id="0">
    <w:p w14:paraId="67A3EAFA" w14:textId="77777777" w:rsidR="00B478AC" w:rsidRDefault="00B478AC" w:rsidP="006C7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65F25"/>
    <w:multiLevelType w:val="hybridMultilevel"/>
    <w:tmpl w:val="AEE648D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7C853C0"/>
    <w:multiLevelType w:val="hybridMultilevel"/>
    <w:tmpl w:val="8FCE5742"/>
    <w:lvl w:ilvl="0" w:tplc="86FA9B98">
      <w:start w:val="1"/>
      <w:numFmt w:val="decimal"/>
      <w:lvlText w:val="%1."/>
      <w:lvlJc w:val="left"/>
      <w:pPr>
        <w:tabs>
          <w:tab w:val="num" w:pos="0"/>
        </w:tabs>
        <w:ind w:left="0" w:hanging="360"/>
      </w:pPr>
      <w:rPr>
        <w:rFonts w:asciiTheme="minorHAnsi" w:eastAsiaTheme="minorEastAsia" w:hAnsi="Calibri" w:cstheme="minorBidi"/>
      </w:rPr>
    </w:lvl>
    <w:lvl w:ilvl="1" w:tplc="B02051B0" w:tentative="1">
      <w:start w:val="1"/>
      <w:numFmt w:val="bullet"/>
      <w:lvlText w:val="•"/>
      <w:lvlJc w:val="left"/>
      <w:pPr>
        <w:tabs>
          <w:tab w:val="num" w:pos="720"/>
        </w:tabs>
        <w:ind w:left="720" w:hanging="360"/>
      </w:pPr>
      <w:rPr>
        <w:rFonts w:ascii="Arial" w:hAnsi="Arial" w:hint="default"/>
      </w:rPr>
    </w:lvl>
    <w:lvl w:ilvl="2" w:tplc="421C78CA" w:tentative="1">
      <w:start w:val="1"/>
      <w:numFmt w:val="bullet"/>
      <w:lvlText w:val="•"/>
      <w:lvlJc w:val="left"/>
      <w:pPr>
        <w:tabs>
          <w:tab w:val="num" w:pos="1440"/>
        </w:tabs>
        <w:ind w:left="1440" w:hanging="360"/>
      </w:pPr>
      <w:rPr>
        <w:rFonts w:ascii="Arial" w:hAnsi="Arial" w:hint="default"/>
      </w:rPr>
    </w:lvl>
    <w:lvl w:ilvl="3" w:tplc="74FED200" w:tentative="1">
      <w:start w:val="1"/>
      <w:numFmt w:val="bullet"/>
      <w:lvlText w:val="•"/>
      <w:lvlJc w:val="left"/>
      <w:pPr>
        <w:tabs>
          <w:tab w:val="num" w:pos="2160"/>
        </w:tabs>
        <w:ind w:left="2160" w:hanging="360"/>
      </w:pPr>
      <w:rPr>
        <w:rFonts w:ascii="Arial" w:hAnsi="Arial" w:hint="default"/>
      </w:rPr>
    </w:lvl>
    <w:lvl w:ilvl="4" w:tplc="CD84D870" w:tentative="1">
      <w:start w:val="1"/>
      <w:numFmt w:val="bullet"/>
      <w:lvlText w:val="•"/>
      <w:lvlJc w:val="left"/>
      <w:pPr>
        <w:tabs>
          <w:tab w:val="num" w:pos="2880"/>
        </w:tabs>
        <w:ind w:left="2880" w:hanging="360"/>
      </w:pPr>
      <w:rPr>
        <w:rFonts w:ascii="Arial" w:hAnsi="Arial" w:hint="default"/>
      </w:rPr>
    </w:lvl>
    <w:lvl w:ilvl="5" w:tplc="CFBE21D0" w:tentative="1">
      <w:start w:val="1"/>
      <w:numFmt w:val="bullet"/>
      <w:lvlText w:val="•"/>
      <w:lvlJc w:val="left"/>
      <w:pPr>
        <w:tabs>
          <w:tab w:val="num" w:pos="3600"/>
        </w:tabs>
        <w:ind w:left="3600" w:hanging="360"/>
      </w:pPr>
      <w:rPr>
        <w:rFonts w:ascii="Arial" w:hAnsi="Arial" w:hint="default"/>
      </w:rPr>
    </w:lvl>
    <w:lvl w:ilvl="6" w:tplc="7B3C3B9A" w:tentative="1">
      <w:start w:val="1"/>
      <w:numFmt w:val="bullet"/>
      <w:lvlText w:val="•"/>
      <w:lvlJc w:val="left"/>
      <w:pPr>
        <w:tabs>
          <w:tab w:val="num" w:pos="4320"/>
        </w:tabs>
        <w:ind w:left="4320" w:hanging="360"/>
      </w:pPr>
      <w:rPr>
        <w:rFonts w:ascii="Arial" w:hAnsi="Arial" w:hint="default"/>
      </w:rPr>
    </w:lvl>
    <w:lvl w:ilvl="7" w:tplc="F4B0B280" w:tentative="1">
      <w:start w:val="1"/>
      <w:numFmt w:val="bullet"/>
      <w:lvlText w:val="•"/>
      <w:lvlJc w:val="left"/>
      <w:pPr>
        <w:tabs>
          <w:tab w:val="num" w:pos="5040"/>
        </w:tabs>
        <w:ind w:left="5040" w:hanging="360"/>
      </w:pPr>
      <w:rPr>
        <w:rFonts w:ascii="Arial" w:hAnsi="Arial" w:hint="default"/>
      </w:rPr>
    </w:lvl>
    <w:lvl w:ilvl="8" w:tplc="83F49F0E" w:tentative="1">
      <w:start w:val="1"/>
      <w:numFmt w:val="bullet"/>
      <w:lvlText w:val="•"/>
      <w:lvlJc w:val="left"/>
      <w:pPr>
        <w:tabs>
          <w:tab w:val="num" w:pos="5760"/>
        </w:tabs>
        <w:ind w:left="5760" w:hanging="360"/>
      </w:pPr>
      <w:rPr>
        <w:rFonts w:ascii="Arial" w:hAnsi="Arial" w:hint="default"/>
      </w:rPr>
    </w:lvl>
  </w:abstractNum>
  <w:abstractNum w:abstractNumId="2" w15:restartNumberingAfterBreak="0">
    <w:nsid w:val="6EF32F2E"/>
    <w:multiLevelType w:val="hybridMultilevel"/>
    <w:tmpl w:val="C7744412"/>
    <w:lvl w:ilvl="0" w:tplc="82546298">
      <w:numFmt w:val="bullet"/>
      <w:lvlText w:val="-"/>
      <w:lvlJc w:val="left"/>
      <w:pPr>
        <w:ind w:left="720" w:hanging="360"/>
      </w:pPr>
      <w:rPr>
        <w:rFonts w:ascii="inherit" w:eastAsia="Times New Roman" w:hAnsi="inherit"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DE"/>
    <w:rsid w:val="0001015E"/>
    <w:rsid w:val="000337A2"/>
    <w:rsid w:val="00040535"/>
    <w:rsid w:val="000A502D"/>
    <w:rsid w:val="000C26DE"/>
    <w:rsid w:val="00113BEF"/>
    <w:rsid w:val="00126678"/>
    <w:rsid w:val="00135351"/>
    <w:rsid w:val="00182719"/>
    <w:rsid w:val="001A695B"/>
    <w:rsid w:val="001B2A78"/>
    <w:rsid w:val="001B53F6"/>
    <w:rsid w:val="001C0643"/>
    <w:rsid w:val="001C7F86"/>
    <w:rsid w:val="00252448"/>
    <w:rsid w:val="002670FF"/>
    <w:rsid w:val="00271609"/>
    <w:rsid w:val="002A63AC"/>
    <w:rsid w:val="002C4825"/>
    <w:rsid w:val="003556E7"/>
    <w:rsid w:val="00364CD4"/>
    <w:rsid w:val="0039273F"/>
    <w:rsid w:val="003F6428"/>
    <w:rsid w:val="0042142B"/>
    <w:rsid w:val="00421A3F"/>
    <w:rsid w:val="004E6638"/>
    <w:rsid w:val="004F59F8"/>
    <w:rsid w:val="004F7BF3"/>
    <w:rsid w:val="005012D4"/>
    <w:rsid w:val="00520B73"/>
    <w:rsid w:val="00554EC1"/>
    <w:rsid w:val="005F6830"/>
    <w:rsid w:val="00602119"/>
    <w:rsid w:val="00627DD1"/>
    <w:rsid w:val="006C73F9"/>
    <w:rsid w:val="00713ACA"/>
    <w:rsid w:val="007B1A0D"/>
    <w:rsid w:val="007C24F1"/>
    <w:rsid w:val="007D09D7"/>
    <w:rsid w:val="00810FDF"/>
    <w:rsid w:val="008A534F"/>
    <w:rsid w:val="008C4432"/>
    <w:rsid w:val="009369B8"/>
    <w:rsid w:val="00957BAE"/>
    <w:rsid w:val="00A12A78"/>
    <w:rsid w:val="00A273A0"/>
    <w:rsid w:val="00A7749D"/>
    <w:rsid w:val="00A830BD"/>
    <w:rsid w:val="00A8320F"/>
    <w:rsid w:val="00A91408"/>
    <w:rsid w:val="00A954DD"/>
    <w:rsid w:val="00A97DBA"/>
    <w:rsid w:val="00B478AC"/>
    <w:rsid w:val="00C22D6A"/>
    <w:rsid w:val="00C27957"/>
    <w:rsid w:val="00C35278"/>
    <w:rsid w:val="00C361CD"/>
    <w:rsid w:val="00C636B9"/>
    <w:rsid w:val="00CA4FFF"/>
    <w:rsid w:val="00CD0FDF"/>
    <w:rsid w:val="00CE6BED"/>
    <w:rsid w:val="00D97CF6"/>
    <w:rsid w:val="00DD7513"/>
    <w:rsid w:val="00E316A1"/>
    <w:rsid w:val="00E4489C"/>
    <w:rsid w:val="00E61A1A"/>
    <w:rsid w:val="00EA082D"/>
    <w:rsid w:val="00EA1868"/>
    <w:rsid w:val="00EA3571"/>
    <w:rsid w:val="00EC4B88"/>
    <w:rsid w:val="00EF6A92"/>
    <w:rsid w:val="00F0443F"/>
    <w:rsid w:val="00FB7D62"/>
    <w:rsid w:val="00FE53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6619"/>
  <w15:chartTrackingRefBased/>
  <w15:docId w15:val="{8A2FFF9E-3EE5-46E9-84ED-46A2F82D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4489C"/>
    <w:pPr>
      <w:spacing w:before="240" w:after="80" w:line="276" w:lineRule="auto"/>
      <w:outlineLvl w:val="1"/>
    </w:pPr>
    <w:rPr>
      <w:rFonts w:eastAsiaTheme="minorEastAsia"/>
      <w:smallCaps/>
      <w:spacing w:val="5"/>
      <w:sz w:val="28"/>
      <w:szCs w:val="28"/>
      <w:lang w:val="en-ZA"/>
    </w:rPr>
  </w:style>
  <w:style w:type="paragraph" w:styleId="Heading3">
    <w:name w:val="heading 3"/>
    <w:basedOn w:val="Normal"/>
    <w:next w:val="Normal"/>
    <w:link w:val="Heading3Char"/>
    <w:uiPriority w:val="9"/>
    <w:unhideWhenUsed/>
    <w:qFormat/>
    <w:rsid w:val="00E4489C"/>
    <w:pPr>
      <w:spacing w:after="0" w:line="276" w:lineRule="auto"/>
      <w:outlineLvl w:val="2"/>
    </w:pPr>
    <w:rPr>
      <w:rFonts w:eastAsiaTheme="minorEastAsia"/>
      <w:smallCaps/>
      <w:spacing w:val="5"/>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8A534F"/>
    <w:rPr>
      <w:rFonts w:ascii="Courier New" w:eastAsia="Times New Roman" w:hAnsi="Courier New" w:cs="Courier New"/>
      <w:sz w:val="20"/>
      <w:szCs w:val="20"/>
      <w:lang w:val="pt-BR" w:eastAsia="pt-BR"/>
    </w:rPr>
  </w:style>
  <w:style w:type="character" w:customStyle="1" w:styleId="Heading2Char">
    <w:name w:val="Heading 2 Char"/>
    <w:basedOn w:val="DefaultParagraphFont"/>
    <w:link w:val="Heading2"/>
    <w:uiPriority w:val="9"/>
    <w:rsid w:val="00E4489C"/>
    <w:rPr>
      <w:rFonts w:eastAsiaTheme="minorEastAsia"/>
      <w:smallCaps/>
      <w:spacing w:val="5"/>
      <w:sz w:val="28"/>
      <w:szCs w:val="28"/>
      <w:lang w:val="en-ZA"/>
    </w:rPr>
  </w:style>
  <w:style w:type="character" w:customStyle="1" w:styleId="Heading3Char">
    <w:name w:val="Heading 3 Char"/>
    <w:basedOn w:val="DefaultParagraphFont"/>
    <w:link w:val="Heading3"/>
    <w:uiPriority w:val="9"/>
    <w:rsid w:val="00E4489C"/>
    <w:rPr>
      <w:rFonts w:eastAsiaTheme="minorEastAsia"/>
      <w:smallCaps/>
      <w:spacing w:val="5"/>
      <w:sz w:val="24"/>
      <w:szCs w:val="24"/>
      <w:lang w:val="en-ZA"/>
    </w:rPr>
  </w:style>
  <w:style w:type="paragraph" w:styleId="ListParagraph">
    <w:name w:val="List Paragraph"/>
    <w:basedOn w:val="Normal"/>
    <w:uiPriority w:val="34"/>
    <w:qFormat/>
    <w:rsid w:val="00E4489C"/>
    <w:pPr>
      <w:spacing w:after="200" w:line="276" w:lineRule="auto"/>
      <w:ind w:left="720"/>
      <w:contextualSpacing/>
      <w:jc w:val="both"/>
    </w:pPr>
    <w:rPr>
      <w:rFonts w:eastAsiaTheme="minorEastAsia"/>
      <w:sz w:val="20"/>
      <w:szCs w:val="20"/>
      <w:lang w:val="en-ZA"/>
    </w:rPr>
  </w:style>
  <w:style w:type="paragraph" w:styleId="NoSpacing">
    <w:name w:val="No Spacing"/>
    <w:basedOn w:val="Normal"/>
    <w:link w:val="NoSpacingChar"/>
    <w:uiPriority w:val="1"/>
    <w:qFormat/>
    <w:rsid w:val="00E4489C"/>
    <w:pPr>
      <w:spacing w:after="0" w:line="240" w:lineRule="auto"/>
      <w:jc w:val="both"/>
    </w:pPr>
    <w:rPr>
      <w:rFonts w:eastAsiaTheme="minorEastAsia"/>
      <w:sz w:val="20"/>
      <w:szCs w:val="20"/>
      <w:lang w:val="en-ZA"/>
    </w:rPr>
  </w:style>
  <w:style w:type="character" w:customStyle="1" w:styleId="NoSpacingChar">
    <w:name w:val="No Spacing Char"/>
    <w:basedOn w:val="DefaultParagraphFont"/>
    <w:link w:val="NoSpacing"/>
    <w:uiPriority w:val="1"/>
    <w:rsid w:val="00E4489C"/>
    <w:rPr>
      <w:rFonts w:eastAsiaTheme="minorEastAsia"/>
      <w:sz w:val="20"/>
      <w:szCs w:val="20"/>
      <w:lang w:val="en-ZA"/>
    </w:rPr>
  </w:style>
  <w:style w:type="character" w:styleId="Hyperlink">
    <w:name w:val="Hyperlink"/>
    <w:uiPriority w:val="99"/>
    <w:semiHidden/>
    <w:unhideWhenUsed/>
    <w:rsid w:val="007D09D7"/>
    <w:rPr>
      <w:color w:val="0563C1"/>
      <w:u w:val="single"/>
    </w:rPr>
  </w:style>
  <w:style w:type="character" w:customStyle="1" w:styleId="example-meaning">
    <w:name w:val="example-meaning"/>
    <w:rsid w:val="007D09D7"/>
  </w:style>
  <w:style w:type="paragraph" w:customStyle="1" w:styleId="Default">
    <w:name w:val="Default"/>
    <w:rsid w:val="007C24F1"/>
    <w:pPr>
      <w:autoSpaceDE w:val="0"/>
      <w:autoSpaceDN w:val="0"/>
      <w:adjustRightInd w:val="0"/>
      <w:spacing w:after="0" w:line="240" w:lineRule="auto"/>
    </w:pPr>
    <w:rPr>
      <w:rFonts w:ascii="Arial" w:hAnsi="Arial" w:cs="Arial"/>
      <w:color w:val="000000"/>
      <w:sz w:val="24"/>
      <w:szCs w:val="24"/>
      <w:lang w:val="es-MX"/>
    </w:rPr>
  </w:style>
  <w:style w:type="table" w:styleId="TableGrid">
    <w:name w:val="Table Grid"/>
    <w:basedOn w:val="TableNormal"/>
    <w:uiPriority w:val="39"/>
    <w:rsid w:val="00C22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3F9"/>
  </w:style>
  <w:style w:type="paragraph" w:styleId="Footer">
    <w:name w:val="footer"/>
    <w:basedOn w:val="Normal"/>
    <w:link w:val="FooterChar"/>
    <w:uiPriority w:val="99"/>
    <w:unhideWhenUsed/>
    <w:rsid w:val="006C7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53551">
      <w:bodyDiv w:val="1"/>
      <w:marLeft w:val="0"/>
      <w:marRight w:val="0"/>
      <w:marTop w:val="0"/>
      <w:marBottom w:val="0"/>
      <w:divBdr>
        <w:top w:val="none" w:sz="0" w:space="0" w:color="auto"/>
        <w:left w:val="none" w:sz="0" w:space="0" w:color="auto"/>
        <w:bottom w:val="none" w:sz="0" w:space="0" w:color="auto"/>
        <w:right w:val="none" w:sz="0" w:space="0" w:color="auto"/>
      </w:divBdr>
      <w:divsChild>
        <w:div w:id="114446773">
          <w:marLeft w:val="360"/>
          <w:marRight w:val="0"/>
          <w:marTop w:val="200"/>
          <w:marBottom w:val="0"/>
          <w:divBdr>
            <w:top w:val="none" w:sz="0" w:space="0" w:color="auto"/>
            <w:left w:val="none" w:sz="0" w:space="0" w:color="auto"/>
            <w:bottom w:val="none" w:sz="0" w:space="0" w:color="auto"/>
            <w:right w:val="none" w:sz="0" w:space="0" w:color="auto"/>
          </w:divBdr>
        </w:div>
        <w:div w:id="1420520817">
          <w:marLeft w:val="360"/>
          <w:marRight w:val="0"/>
          <w:marTop w:val="200"/>
          <w:marBottom w:val="0"/>
          <w:divBdr>
            <w:top w:val="none" w:sz="0" w:space="0" w:color="auto"/>
            <w:left w:val="none" w:sz="0" w:space="0" w:color="auto"/>
            <w:bottom w:val="none" w:sz="0" w:space="0" w:color="auto"/>
            <w:right w:val="none" w:sz="0" w:space="0" w:color="auto"/>
          </w:divBdr>
        </w:div>
        <w:div w:id="1979727370">
          <w:marLeft w:val="360"/>
          <w:marRight w:val="0"/>
          <w:marTop w:val="200"/>
          <w:marBottom w:val="0"/>
          <w:divBdr>
            <w:top w:val="none" w:sz="0" w:space="0" w:color="auto"/>
            <w:left w:val="none" w:sz="0" w:space="0" w:color="auto"/>
            <w:bottom w:val="none" w:sz="0" w:space="0" w:color="auto"/>
            <w:right w:val="none" w:sz="0" w:space="0" w:color="auto"/>
          </w:divBdr>
        </w:div>
      </w:divsChild>
    </w:div>
    <w:div w:id="295571487">
      <w:bodyDiv w:val="1"/>
      <w:marLeft w:val="0"/>
      <w:marRight w:val="0"/>
      <w:marTop w:val="0"/>
      <w:marBottom w:val="0"/>
      <w:divBdr>
        <w:top w:val="none" w:sz="0" w:space="0" w:color="auto"/>
        <w:left w:val="none" w:sz="0" w:space="0" w:color="auto"/>
        <w:bottom w:val="none" w:sz="0" w:space="0" w:color="auto"/>
        <w:right w:val="none" w:sz="0" w:space="0" w:color="auto"/>
      </w:divBdr>
    </w:div>
    <w:div w:id="1516269725">
      <w:bodyDiv w:val="1"/>
      <w:marLeft w:val="0"/>
      <w:marRight w:val="0"/>
      <w:marTop w:val="0"/>
      <w:marBottom w:val="0"/>
      <w:divBdr>
        <w:top w:val="none" w:sz="0" w:space="0" w:color="auto"/>
        <w:left w:val="none" w:sz="0" w:space="0" w:color="auto"/>
        <w:bottom w:val="none" w:sz="0" w:space="0" w:color="auto"/>
        <w:right w:val="none" w:sz="0" w:space="0" w:color="auto"/>
      </w:divBdr>
    </w:div>
    <w:div w:id="19210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Orford</dc:creator>
  <cp:keywords/>
  <dc:description/>
  <cp:lastModifiedBy>Gill V</cp:lastModifiedBy>
  <cp:revision>2</cp:revision>
  <dcterms:created xsi:type="dcterms:W3CDTF">2021-12-09T07:41:00Z</dcterms:created>
  <dcterms:modified xsi:type="dcterms:W3CDTF">2021-12-09T07:41:00Z</dcterms:modified>
</cp:coreProperties>
</file>